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https://www.autoritedelaconcurrence.fr/fr/decision-de-controle-des-concentrations/relative-la-prise-de-controle-exclusif-de-la-societe-espace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17-DCC-179 of October 31, 2017  </w:t>
        <w:br/>
        <w:t xml:space="preserve">regarding the exclusive control acquisition of the company Espace Paris Sud  </w:t>
        <w:br/>
        <w:t xml:space="preserve">by the company Priod Holding  </w:t>
        <w:br/>
        <w:t xml:space="preserve">The Competition Authority,  </w:t>
        <w:br/>
        <w:t xml:space="preserve">Having regard to the complete notification file submitted to the mergers department on October 9, 2017,  </w:t>
        <w:br/>
        <w:t xml:space="preserve">concerning the exclusive control acquisition of the company Espace Paris Sud by the company Priod Holding,  </w:t>
        <w:br/>
        <w:t xml:space="preserve">formalized by a share transfer agreement dated September 14,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Priod Holding of exclusive control  </w:t>
        <w:br/>
        <w:t xml:space="preserve">of the company Espace Paris Sud, which is active in the sectors of distribution and  </w:t>
        <w:br/>
        <w:t xml:space="preserve">repair of Audi brand motor vehicles in the department of Essonne. It  </w:t>
        <w:br/>
        <w:t xml:space="preserve">constitutes a concentration operation within the meaning of Article L. 430-1 of the Commercial Code.  </w:t>
        <w:br/>
        <w:t xml:space="preserve">Considering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17-213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