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https://www.autoritedelaconcurrence.fr/fr/decision-de-controle-des-concentrations/relative-la-prise-de-controle-exclusif-de-la-societe-esr</w:t>
      </w:r>
    </w:p>
    <w:p>
      <w:r>
        <w:t>Pages translated : 4</w:t>
      </w:r>
    </w:p>
    <w:p/>
    <w:p>
      <w:r>
        <w:rPr>
          <w:b/>
        </w:rPr>
        <w:t>[Pages 1–3]</w:t>
      </w:r>
    </w:p>
    <w:p>
      <w:r>
        <w:t xml:space="preserve">FRENCH REPUBLIC  </w:t>
        <w:br/>
        <w:t xml:space="preserve">Decision No. 12-DCC-132 of September 7, 2012  </w:t>
        <w:br/>
        <w:t xml:space="preserve">regarding the exclusive control of the company ESR by the company Osiatis  </w:t>
        <w:br/>
        <w:t xml:space="preserve">The Competition Authority,  </w:t>
        <w:br/>
        <w:t xml:space="preserve">Having regard to the notification file submitted in full to the merger service on August 2, 2012, regarding the exclusive control by the company Osiatis of the company ESR, formalized by a memorandum of understanding signed between Mr. Jean-Guy Barboteau, ESR, and Osiatis on July 26, 2012;  </w:t>
        <w:br/>
        <w:t xml:space="preserve">Having regard to Book IV of the Commercial Code relating to price freedom and competition, and in particular its Articles L. 430-1 to L. 430-10;  </w:t>
        <w:br/>
        <w:t xml:space="preserve">Having regard to the additional elements submitted by the parties during the investigation;  </w:t>
        <w:br/>
        <w:t xml:space="preserve">Adopts the following decision:  </w:t>
        <w:br/>
        <w:t xml:space="preserve">I. The companies concerned and the operation  </w:t>
        <w:br/>
        <w:t xml:space="preserve">1. The company Osiatis heads a group of companies active in the IT services sector (in particular services related to information systems infrastructure and development services in new technologies). It is controlled by the company WB Finances et Partenaires, which heads the Butler Capital group (hereinafter "BCP group"), controlled by Mr. Walter Butler. The BCP group is engaged in holding stakes in the capital of companies [confidential].  </w:t>
        <w:br/>
        <w:t xml:space="preserve">2. The company ESR1 is controlled by Mr. Jean-Guy Barboteau, its Chief Executive Officer, who holds […]% of the capital and […]% of the voting rights. ESR and its subsidiaries (ESR Consulting, Infodesign, and Servitique) are present in the IT services sector (in particular services related to information systems infrastructure and telecommunications network services).  </w:t>
        <w:br/>
        <w:t>1 The initials that make up the corporate name of the company ESR mean "L'Expertise Systèmes Réseaux."</w:t>
      </w:r>
    </w:p>
    <w:p>
      <w:r>
        <w:t xml:space="preserve">3. Under the terms of the memorandum of understanding signed on July 26, 2012, between Osiatis, ESR, and Mr. Jean-Guy Barboteau, Osiatis must participate in a capital increase of the company ESR, after which it will hold […]% of ESR's capital. Osiatis will then file a mandatory simplified mixed public offer, alternatively accompanied by a public purchase offer on the remaining capital of ESR. On this occasion, Mr. Jean-Guy Barboteau will contribute his shareholding in ESR to Osiatis. Upon completion of the operation, Osiatis will hold at least […]% of ESR's capital and will have a two-thirds majority on the board of directors of ESR, sufficient to allow it to make strategic decisions inherent to ESR's activity on its own.  </w:t>
        <w:br/>
        <w:t xml:space="preserve">4. Insofar as it results in the acquisition of exclusive control of ESR by Osiatis, the notified operation is a concentration within the meaning of Article L. 430-1 of the Commercial Code.  </w:t>
        <w:br/>
        <w:t xml:space="preserve">5. The companies concerned together achieve a total worldwide turnover of more than 150 million euros (BCP group: […] euros for the fiscal year ending December 31, 2011; ESR group: […] euros for the same fiscal year). The BCP group and the ESR group each achieve, in France, a turnover exceeding 50 million euros (BCP group: […] euros for the fiscal year ending December 31, 2011; ESR group: […] euros for the same fiscal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relevant markets  </w:t>
        <w:br/>
        <w:t xml:space="preserve">6. The parties to the operation are simultaneously active in the IT services sector.  </w:t>
        <w:br/>
        <w:t xml:space="preserve">A. SERVICE MARKETS  </w:t>
        <w:br/>
        <w:t xml:space="preserve">7. The competition authorities, both French2 and community3, have already had the opportunity to rule on the definition of the relevant markets in this sector, while leaving the question open. The decision-making practice4 has thus considered that seven functional categories of services could be distinguished within the market for IT services: (i) overall management services, (ii) business management services, (iii) the development and integration of software, (iv) consulting, (v) software maintenance and logistical support, (vi) hardware maintenance and logistical support, and (vii) teaching and training. However, it has not been excluded5 that these seven categories of services could be considered as belonging to a global market for IT services insofar as clients generally seek a service integrating all the activities described above and there is a high degree of substitutability on the supply side.  </w:t>
        <w:br/>
        <w:t xml:space="preserve">8. Different alternative or complementary segmentations have also been considered6 according to:  </w:t>
        <w:br/>
        <w:t xml:space="preserve">- the type of clientele, SMEs / SMIs or large accounts;  </w:t>
        <w:br/>
        <w:t xml:space="preserve">- the types of information and communication systems: (i) management application systems, which include IT services used to fulfill a horizontal function within companies or administrations; (ii) embedded scientific technical industrial application systems; (iii) generic application systems; (iv) IT infrastructure systems; and (v) communication infrastructure and enterprise network systems.  </w:t>
        <w:br/>
        <w:t xml:space="preserve">- the sector of activity, namely: (i) communications, (ii) education, (iii) energy and local networks, (iv) financial services, (v) the public sector, (vi) health, (vii) industry, (viii) commerce and distribution, (ix) services, and (x) transport.  </w:t>
        <w:br/>
        <w:t xml:space="preserve">9. There is no need to challenge these segmentations in the context of the present operation.  </w:t>
        <w:br/>
        <w:t xml:space="preserve">B. GEOGRAPHICAL MARKETS  </w:t>
        <w:br/>
        <w:t xml:space="preserve">10. The competition authorities7 have, on several occasions, held that the markets for IT services were of national dimension, notably due to the necessity for service providers to communicate regularly in the language of their clients and to maintain a relative proximity to them. However, they have noted a certain internationalization of supply and demand.  </w:t>
        <w:br/>
        <w:t xml:space="preserve">11. In this case, the competitive analysis will be conducted at the national level.  </w:t>
        <w:br/>
        <w:t xml:space="preserve">III. Competitive analysis  </w:t>
        <w:br/>
        <w:t xml:space="preserve">12. The French market for IT services is a dynamic and fragmented market, comprising more than 19,300 companies and is primarily concentrated in France on the  </w:t>
        <w:br/>
        <w:t xml:space="preserve">5 Letter from the Minister of Economy No. C2006-132 of December 19, 2006, to the board of the company France Télécom, regarding a concentration in the software development sector. And letter from the Minister of Economy, Finance and Industry of January 21, 2005, to the board of the company Butler Capital Partners regarding a concentration in the IT services sector.  </w:t>
        <w:br/>
        <w:t xml:space="preserve">6 See in particular the decision of the Competition Authority 11-DCC-20 mentioned above.  </w:t>
        <w:br/>
        <w:t>7 See in particular decision No. 11-DCC-20 of the Competition Authority mentioned above and decision No. 11-DCC-139 of September 20, 2011, regarding the exclusive control of the company Large Network Administration and its subsidiary LGD by the company SCC France; as well as decision No. M.5301 of the European Commission.</w:t>
      </w:r>
    </w:p>
    <w:p>
      <w:r>
        <w:rPr>
          <w:b/>
        </w:rPr>
        <w:t>[Pages 4–4]</w:t>
      </w:r>
    </w:p>
    <w:p>
      <w:r>
        <w:t xml:space="preserve">Paris region. Large international groups are present there, such as IBM, Cap Gemini, Accenture, Atos Origin, and Hewlett-Packard.  </w:t>
        <w:br/>
        <w:t xml:space="preserve">13. Thus, in the global market for IT services, the parties estimate their combined market shares, based on data provided by a specialized consulting firm, to be approximately [0-5]%.  </w:t>
        <w:br/>
        <w:t xml:space="preserve">14. The operation only leads to an overlap of activities in the area of global management services. In this market, the parties estimate that their combined market share is around [0-5]%.  </w:t>
        <w:br/>
        <w:t xml:space="preserve">15. Within the markets segmented by type of clientele, the operation results in an overlap of activities between the parties only in the market for IT services provided to "large account" clients, with only Osiatis providing services to SMEs. In the segment of services to large accounts, the parties estimate that their combined market share does not exceed [0-5]%.  </w:t>
        <w:br/>
        <w:t xml:space="preserve">16. If the markets are segmented by information and communication systems, the operation leads to an overlap of activities in the markets (i) of management application systems, (ii) of generic application systems, (iii) of communication infrastructure systems and enterprise networks. The parties estimate that their combined market share did not exceed [0-5]% in any of the segments where the ESR and BCP groups are simultaneously present.  </w:t>
        <w:br/>
        <w:t xml:space="preserve">17. Finally, by segmenting the markets by sector of activity, the operation results in an overlap of activities between the parties in the markets for the provision of IT services to companies in the sectors (i) of communication, (ii) of financial services, (iii) of industry, (iv) of services, and (v) of the public sector. According to this segmentation, the new entity would hold a market share of less than [0-5]% in each of the markets where the ESR and BCP groups are simultaneously present.  </w:t>
        <w:br/>
        <w:t xml:space="preserve">18. Consequently, the proposed operation is not likely to affect competition in the IT services markets.  </w:t>
        <w:br/>
        <w:t xml:space="preserve">DECIDES  </w:t>
        <w:br/>
        <w:t xml:space="preserve">Sole Article: The operation notified under number 12-128 is authorized.  </w:t>
        <w:br/>
        <w:t xml:space="preserve">The President,  </w:t>
        <w:br/>
        <w:t xml:space="preserve">Bruno Lasserre  </w:t>
        <w:br/>
        <w:t xml:space="preserve">© Competition Authority  </w:t>
        <w:br/>
        <w:t>Source: Xerfi, IT Services, May 2010.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