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https://www.autoritedelaconcurrence.fr/fr/decision-de-controle-des-concentrations/relative-la-prise-de-controle-exclusif-de-la-societe-etoile</w:t>
      </w:r>
    </w:p>
    <w:p>
      <w:r>
        <w:t>Pages translated : 2</w:t>
      </w:r>
    </w:p>
    <w:p/>
    <w:p>
      <w:r>
        <w:rPr>
          <w:b/>
        </w:rPr>
        <w:t>[Pages 1–2]</w:t>
      </w:r>
    </w:p>
    <w:p>
      <w:r>
        <w:t>FRENCH REPUBLIC</w:t>
        <w:br/>
        <w:t>Decision No. 20-DCC-45 of March 19, 2020</w:t>
        <w:br/>
        <w:t>regarding the exclusive control acquisition of Etoile 90 Holding</w:t>
        <w:br/>
        <w:t>by ECL</w:t>
        <w:br/>
        <w:t>The Competition Authority,</w:t>
        <w:br/>
        <w:t>Having regard to the complete notification file sent to the mergers department on February 28, 2020,</w:t>
        <w:br/>
        <w:t>concerning the exclusive control acquisition of Etoile 90 Holding by ECL,</w:t>
        <w:br/>
        <w:t>formalized by a conditional sale agreement dated February 20, 2020;</w:t>
        <w:br/>
        <w:t>Having regard to Book IV of the Commercial Code relating to the freedom of prices and competition, and</w:t>
        <w:br/>
        <w:t>notably its Articles L. 430-1 to L. 430-7;</w:t>
        <w:br/>
        <w:t>Having regard to the elements submitted during the investigation by the notifying party;</w:t>
        <w:br/>
        <w:t>Adopts the following decision:</w:t>
        <w:br/>
        <w:t>1. The notified operation consists of the exclusive control acquisition of Etoile 90 Holding by</w:t>
        <w:br/>
        <w:t>ECL (Chopard group), which is active in the sector of distribution of motor vehicles and industrial vehicles under the brands Mercedes-Benz, Smart, and Mitsubishi Canter Fuso in the departments of Côte-d’Or (21), Doubs (25), Haute-Saône (70), and Territoire de Belfort (90). It constitutes a concentration operation within the meaning of Article L. 430-1 of the Commercial Code. Given the turnover achieved by the companies involved, the operation does not fall under the jurisdiction of the European Union. However, the retail control thresholds mentioned in point II of Article L. 430-2 of the Commercial Code are exceeded. This operation is therefore subject to the provisions of Articles L. 430-3 and following of the Commercial Code relating to economic concentration.</w:t>
        <w:br/>
        <w:t>2. In light of the elements of the file, the operation is not likely to harm competition in the relevant markets.</w:t>
      </w:r>
    </w:p>
    <w:p>
      <w:r>
        <w:t>DECIDES</w:t>
        <w:br/>
        <w:t>Sole Article: The operation notified under number 20-045 is authorized.</w:t>
        <w:br/>
        <w:t>The President,</w:t>
        <w:br/>
        <w:t>Isabelle de Silva</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