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https://www.autoritedelaconcurrence.fr/fr/decision-de-controle-des-concentrations/relative-la-prise-de-controle-exclusif-de-la-societe-face</w:t>
      </w:r>
    </w:p>
    <w:p>
      <w:r>
        <w:t>Pages translated : 2</w:t>
      </w:r>
    </w:p>
    <w:p/>
    <w:p>
      <w:r>
        <w:rPr>
          <w:b/>
        </w:rPr>
        <w:t>[Pages 1–2]</w:t>
      </w:r>
    </w:p>
    <w:p>
      <w:r>
        <w:t>REPUBLIC OF FRANCE</w:t>
        <w:br/>
        <w:t>Decision No. 26-DCC-109 of May 11, 2026</w:t>
        <w:br/>
        <w:t>regarding the exclusive control acquisition of the company Face Services Centraux by the company Montefiore Investment</w:t>
        <w:br/>
        <w:t>The Competition Authority,</w:t>
        <w:br/>
        <w:t>Having regard to the complete notification file submitted to the mergers department on April 21, 2026, concerning the exclusive control acquisition of the company Face Services Centraux by the funds Montefiore Investment VI SLP and MI Parallel Partnership SLP, ultimately owned by the company Montefiore Investment, formalized by a share purchase agreement signed on March 31, 2026;</w:t>
        <w:br/>
        <w:t>Having regard to Book IV of the Commercial Code relating to the freedom of prices and competition, and in particular its Articles L. 430-1 to L. 430-7;</w:t>
        <w:br/>
        <w:t>Adopts the following decision:</w:t>
        <w:br/>
        <w:t>1. The notified operation consists of the direct and indirect acquisition of the entirety of the capital and voting rights of the company Face Services Centraux SAS by a newly established entity for the purposes of the operation, whose capital and voting rights will be predominantly held by the funds Montefiore Investment VI SLP and MI Parallel Partnership SLP, which are managed and controlled by the company Montefiore Investment. Face Services Centraux is at the head of the Face group, which is primarily active in the sectors of structural work and finishing work. As it results in the acquisition of exclusive control over the target, the operation constitutes a concentration within the meaning of Article L. 430-1 of the Commercial Code.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view of the elements of the file, the operation is not likely to harm competition in the relevant markets.</w:t>
      </w:r>
    </w:p>
    <w:p>
      <w:r>
        <w:t>DECIDES</w:t>
        <w:br/>
        <w:t>Sole Article: The operation notified under number 26-101 is authorized.</w:t>
        <w:br/>
        <w:t>The Vice-President,</w:t>
        <w:br/>
        <w:t>Thibaud Vergé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