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https://www.autoritedelaconcurrence.fr/fr/decision-de-controle-des-concentrations/relative-la-prise-de-controle-exclusif-de-la-societe-factum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18-DCC-88 of May 29, 2018  </w:t>
        <w:br/>
        <w:t xml:space="preserve">regarding the exclusive control acquisition of the company Factum Group SAS  </w:t>
        <w:br/>
        <w:t xml:space="preserve">by the Argos VII funds  </w:t>
        <w:br/>
        <w:t>The Competition Authority,</w:t>
      </w:r>
    </w:p>
    <w:p>
      <w:r>
        <w:t xml:space="preserve">Having regard to the complete notification file submitted to the mergers department on April 26, 2018,  </w:t>
        <w:br/>
        <w:t xml:space="preserve">concerning the exclusive control acquisition of the company Factum Group SAS by the Argos VII funds,  </w:t>
        <w:br/>
        <w:t>and formalized by a memorandum of understanding dated April 11, 2018;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by the Argos VII funds, managed by  </w:t>
        <w:br/>
        <w:t xml:space="preserve">the company Argos Soditic France SAS, of the company Factum Group SAS, which is active in  </w:t>
        <w:br/>
        <w:t xml:space="preserve">the sector of leasing financing of movable assets for businesses. It constitutes  </w:t>
        <w:br/>
        <w:t xml:space="preserve">a concentration operation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jurisdiction of the European Union. On the other hand, the control thresholds mentioned in point I  </w:t>
        <w:br/>
        <w:t xml:space="preserve">of 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18-076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