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https://www.autoritedelaconcurrence.fr/fr/decision-de-controle-des-concentrations/relative-la-prise-de-controle-exclusif-de-la-societe-fe</w:t>
      </w:r>
    </w:p>
    <w:p>
      <w:r>
        <w:t>Pages translated : 8</w:t>
      </w:r>
    </w:p>
    <w:p/>
    <w:p>
      <w:r>
        <w:rPr>
          <w:b/>
        </w:rPr>
        <w:t>[Pages 1–3]</w:t>
      </w:r>
    </w:p>
    <w:p>
      <w:r>
        <w:t>FRENCH REPUBLIC</w:t>
        <w:br/>
        <w:t>Decision No. 22-DCC-96 of June 10, 2022</w:t>
        <w:br/>
        <w:t>regarding the exclusive control of FE Expansion by</w:t>
        <w:br/>
        <w:t>H.I.G Capital</w:t>
        <w:br/>
        <w:t>The Competition Authority,</w:t>
        <w:br/>
        <w:t>Having regard to the notification file submitted in full to the merger control service on May 9, 2022, regarding the exclusive control of FE Expansion by H.I.G Capital, formalized by a unilateral purchase promise dated February 16, 2022;</w:t>
        <w:br/>
        <w:t>Having regard to Book IV of the Commercial Code relating to the freedom of prices and competition, and in particular its Articles L. 430-1 to L. 430-7;</w:t>
        <w:br/>
        <w:t>Adopts the following decision:</w:t>
      </w:r>
    </w:p>
    <w:p>
      <w:r>
        <w:t>Summary1</w:t>
        <w:br/>
        <w:t>Under the terms of this decision, the Competition Authority (hereinafter "the Authority") examined the acquisition of exclusive control by H.I.G Capital over FE Expansion, the parent company of the France Élévateur group, which is active in the design and manufacture of vehicle-mounted aerial lifts.</w:t>
      </w:r>
    </w:p>
    <w:p>
      <w:r>
        <w:t>Given the activities of H.I.G Capital, notably through its subsidiary Time, and the target assets, the Authority's examination focused on the effects of the operation on the markets for the production and marketing of vehicle-mounted aerial lifts (hereinafter, "VMAL2") and on the markets for VMAL maintenance.</w:t>
      </w:r>
    </w:p>
    <w:p>
      <w:r>
        <w:t>In the market for the production and marketing of VMAL, any risk of harm to competition through horizontal effects could be ruled out, considering, on the one hand, the limited market shares of the parties or very low overlaps in activity and, on the other hand, the presence of competitors.</w:t>
      </w:r>
    </w:p>
    <w:p>
      <w:r>
        <w:t>In the markets for VMAL maintenance, at the national level, any risk of harm to competition through horizontal effects could also be ruled out, given the presence of numerous competitors.</w:t>
      </w:r>
    </w:p>
    <w:p>
      <w:r>
        <w:t>Regarding local areas, the operation leads to overlaps in six catchment areas. In each of these areas, any risk of harm to competition through horizontal effects could be ruled out, considering the presence of national competitors and the significant weight of independent repairers.</w:t>
      </w:r>
    </w:p>
    <w:p>
      <w:r>
        <w:t>The Authority also considered that the operation was not likely to harm competition through conglomerate effects between the different VMAL markets, given the very low number of operators purchasing different categories of VMAL.</w:t>
      </w:r>
    </w:p>
    <w:p>
      <w:r>
        <w:t xml:space="preserve">At the end of its competitive analysis, the Authority authorized the operation unconditionally. </w:t>
        <w:br/>
        <w:t xml:space="preserve">1 This summary is purely informative. Only the reasons for the decision numbered below are authoritative. </w:t>
        <w:br/>
        <w:t>2 In English, "Vehicle-mounted aerial lifts".</w:t>
      </w:r>
    </w:p>
    <w:p>
      <w:r>
        <w:t>I. The Companies Concerned and the Operation</w:t>
        <w:br/>
        <w:t>A. THE COMPANIES CONCERNED</w:t>
        <w:br/>
        <w:t>1. H.I.G Capital is a private equity firm. It holds stakes in various sectors such as agri-food, chemicals, media, construction materials, and healthcare. H.I.G Capital notably controls the company Time, which designs and manufactures vehicle-mounted aerial platforms, vehicle bodies, and bridge inspection units. In France, Time markets vehicle-mounted aerial platforms on light vehicles and heavy trucks of high and very high reach respectively under the brands Versalift and Ruthmann. It also owns three maintenance centers for vehicle-mounted aerial platforms (hereinafter "VMAL") in France located in Beaucouzé (49), Lanester (56), and Morlaàs (64).</w:t>
      </w:r>
    </w:p>
    <w:p>
      <w:r>
        <w:t>2. FE Expansion is the holding company of the France Élévateur group, a French group specialized in the design and manufacture of VMAL. [Confidential]. FE Expansion exercises, [confidential]3, exclusive control over the companies France Élévateur and Movex, which specialize in the design, assembly, manufacture, and maintenance of vehicle-mounted aerial lifts for light vehicles and heavy trucks of high reach. The France Élévateur group also has a network of eleven maintenance centers spread across the territory located in Brétigny-sur-Orge (91), Clermont-Ferrand (63), Colomiers (31), Couëron (44), Courcelles-lès-Lens (62), Flavigny-sur-Moselle (54), Laval (53), Montussan (33), Saint-Ouen-l’Aumône (95), Saint-Priest (69), and Salon de Provence (13).</w:t>
      </w:r>
    </w:p>
    <w:p>
      <w:r>
        <w:t>B. THE OPERATION</w:t>
        <w:br/>
        <w:t>3. The operation consists of the acquisition by H.I.G Capital, through the company Time, of the entire capital of FE Expansion.</w:t>
      </w:r>
    </w:p>
    <w:p>
      <w:r>
        <w:t>4. As it results in the exclusive control of FE Expansion by H.I.G Capital, the notified operation constitutes a concentration operation within the meaning of Article L. 430-1 of the Commercial Code.</w:t>
      </w:r>
    </w:p>
    <w:p>
      <w:r>
        <w:t xml:space="preserve">5. The companies concerned together achieve a total turnover excluding taxes worldwide of more than 150 million euros (H.I.G Capital: [≥ 150 million] euros for the fiscal year ending December 31, 2020; FE Expansion: [≤ 150 million] euros for the fiscal year ending June 30, 2021). Each of these companies has achieved, in France, a turnover exceeding 50 million euros (H.I.G Capital: [≥ 50 million] euros for the fiscal year ending December 31, 2020; FE Expansion: [≥ 50 million] euros for the fiscal year ending December 31, 2019). Given these turnover figures, the operation does not fall under the jurisdiction of the European Union. On the other hand, the retail trade control thresholds mentioned in I of Article L. 430-2 of the Commercial Code are exceeded. This operation is therefore subject to the provisions of Articles L. 430-3 and following of the Commercial Code relating to economic concentration. </w:t>
        <w:br/>
        <w:t>3 [Confidential].</w:t>
      </w:r>
    </w:p>
    <w:p>
      <w:r>
        <w:rPr>
          <w:b/>
        </w:rPr>
        <w:t>[Pages 4–6]</w:t>
      </w:r>
    </w:p>
    <w:p>
      <w:r>
        <w:t>II. Delimitation of Relevant Markets</w:t>
        <w:br/>
        <w:t>6. The parties simultaneously produce and market VMAL and also offer VMAL maintenance services.</w:t>
        <w:br/>
        <w:t>A. MARKETS FOR THE PRODUCTION AND MARKETING OF VMAL</w:t>
        <w:br/>
        <w:t>1. PRODUCT AND SERVICE MARKETS</w:t>
        <w:br/>
        <w:t>7. The parties simultaneously produce and market VMAL. Competition authorities have never defined a market limited to these products.</w:t>
        <w:br/>
        <w:t>8. However, national decision-making practice has defined a market for platforms and lifting booms, which can be segmented between self-propelled and towed equipment, as well as between platforms and booms. Decision-making practice has also considered a distinction between booms and platforms intended for the elevation of persons and those designed for the elevation of loads.</w:t>
        <w:br/>
        <w:t>9. The booms manufactured by the parties are intended for the elevation of persons but, unlike self-propelled booms, they are mounted on utility vehicles produced by industrial vehicle manufacturers such as Renault, Mercedes, or Nissan. Furthermore, unlike other self-propelled aerial lifts, VMAL can be driven without specific restrictions on public roads. Consequently, the notifying party considers that it is possible to define a market limited to VMAL alone, which can be segmented according to the size of the vehicle on which the booms are mounted:</w:t>
        <w:br/>
        <w:t>- "Light" VMAL, that is, booms mounted on vehicles with a maximum authorized weight in load (hereinafter, "PTAC") of less than 3.5 tons, which represent approximately 95% by volume and 85% by value of VMAL marketed in France. The 3.5-ton threshold corresponds to the maximum weight below which it is not necessary for the driver to hold a specific license, the standard driving license being sufficient to operate these vehicles. Light VMAL are primarily intended for companies active in sectors such as energy and public lighting;</w:t>
        <w:br/>
        <w:t>- "Medium" VMAL, that is, booms mounted on vehicles with a PTAC greater than 3.5 tons and a maximum working height of less than 40 meters, which represent approximately 5% by volume and 10% by value of VMAL marketed in France;</w:t>
        <w:br/>
        <w:t>- "Large" VMAL, that is, booms mounted on vehicles with a PTAC greater than 3.5 tons and a working height greater than 40 meters, which represent nearly 1% by volume and nearly 10% by value of VMAL marketed in France. These vehicles are generally heavier than medium vehicles. Due to their versatility and high purchase price compared to medium VMAL, these vehicles are almost exclusively purchased by short-term rental companies. They are then generally rented to local authorities, tree trimming companies for work on tall trees, companies active in the energy sector, or for occasional work, such as interventions on wind turbines.</w:t>
        <w:br/>
        <w:t>10. In this case, the question of the exact delimitation of the market can be left open, as the conclusions of the competitive analysis remain unchanged, regardless of the assumption made. The analysis will thus be conducted on a market limited to VMAL, possibly segmented according to the size of the vehicle on which the boom is mounted, the most conservative level of analysis.</w:t>
        <w:br/>
        <w:t>11. The parties are simultaneously present in the markets for the production and marketing of light and medium VMAL. The acquirer, through the Ruthmann brand, is also present in the market for the production and marketing of large VMAL.</w:t>
        <w:br/>
        <w:t>2. GEOGRAPHICAL MARKETS</w:t>
        <w:br/>
        <w:t>12. The Competition Authority and the European Commission have not ruled on the relevant geographical dimension of a market limited to VMAL.</w:t>
        <w:br/>
        <w:t>13. More generally, regarding the market for aerial lifts and platforms, the Authority has retained a market corresponding to the European Economic Area (EEA) with a trend towards globalization.</w:t>
        <w:br/>
        <w:t>14. Specifically regarding the markets for VMAL, the notifying party believes that they also have a European or even global geographical dimension. In particular, the notifying party emphasizes that regulatory standards are applicable at the European Union level, so that booms manufactured in another Member State are perfectly suitable for the French market and vice versa. The assembly of the boom with a vehicle can also be carried out in any Member State, with the assembled vehicle being easily exported from one country to another, given the very low transport costs of these products.</w:t>
        <w:br/>
        <w:t>15. However, it notes that a number of characteristics may confer a national dimension to this market. Indeed, negotiations are conducted through national tenders, and the main clients of the parties, although active in different Member States of the EEA, generally do not group their purchases across multiple countries. After-sales service operations are also conducted on a national scale.</w:t>
        <w:br/>
        <w:t>16. In this case, the question of the exact geographical dimension of this market can be left open, as the conclusions of the analysis remain unchanged regardless of the geographical dimension considered. The competitive analysis will be conducted at the national level, the most conservative level of analysis.</w:t>
        <w:br/>
        <w:t>B. MARKETS FOR VMAL MAINTENANCE</w:t>
        <w:br/>
        <w:t>1. PRODUCT AND SERVICE MARKETS</w:t>
        <w:br/>
        <w:t>17. The Competition Authority and the European Commission have not ruled on the existence of a market for the maintenance of aerial lifts and platforms, or for the maintenance of VMAL.</w:t>
        <w:br/>
        <w:t>18. However, national and European decision-making practice has considered, while leaving the question open, the existence of a distinct market for the maintenance and supply of spare parts for handling equipment, given that other providers, few or not present at the marketing stage, are able to offer maintenance contracts.</w:t>
        <w:br/>
        <w:t>19. The maintenance of VMAL covers all operations necessary to ensure periodic or non-periodic maintenance of vehicle-mounted aerial lifts. In this case, these services can be provided by manufacturers but also by independent operators. Furthermore, the parties provide maintenance for their booms as well as for those of third parties.</w:t>
        <w:br/>
        <w:t>20. Without needing to resolve the question of the existence of a distinct market for VMAL maintenance, the Authority has conservatively conducted an analysis of this potential market.</w:t>
        <w:br/>
        <w:t>2. GEOGRAPHICAL MARKETS</w:t>
        <w:br/>
        <w:t>21. Decision-making practice, although it has generally considered a national delimitation, has not resolved the question of the exact delimitation of the industrial maintenance market.</w:t>
        <w:br/>
        <w:t>22. The notifying party considers that the market for VMAL maintenance is of national dimension. It emphasizes that the operators present in this market are spread throughout the territory and that maintenance centers can rely on itinerant technicians performing interventions within a radius of several hundred kilometers.</w:t>
        <w:br/>
        <w:t>23. However, the notifying party indicated that [80-90]% of the parties' clients are located at an average distance from the parties' maintenance centers ranging from 110 kilometers to 250 kilometers, depending on the centers considered.</w:t>
        <w:br/>
        <w:t>24. In this case, the question of the exact geographical dimension of the VMAL maintenance market can be left open since the conclusions of the analysis remain unchanged regardless of the dimension retained. The analysis will be conducted at the national and local level in areas located within a radius of 120 kilometers and 250 kilometers around the target's maintenance centers.</w:t>
        <w:br/>
        <w:t>III. Competitive Analysis</w:t>
        <w:br/>
        <w:t>A. ANALYSIS OF HORIZONTAL EFFECTS</w:t>
        <w:br/>
        <w:t>1. MARKETS FOR THE PRODUCTION AND MARKETING OF VMAL</w:t>
        <w:br/>
        <w:t>25. In the markets for the production and marketing of VMAL, the competitive analysis is based on market share estimates by value provided by the notifying party.</w:t>
        <w:br/>
        <w:t>26. The new entity will hold [30-40]% of market share at the national level in a market encompassing all VMAL. The new entity will continue to face pressure.</w:t>
      </w:r>
    </w:p>
    <w:p>
      <w:r>
        <w:rPr>
          <w:b/>
        </w:rPr>
        <w:t>[Pages 7–8]</w:t>
      </w:r>
    </w:p>
    <w:p>
      <w:r>
        <w:t>competitive pressure exerted by the Klubb group ([30-40] %) as well as by other significant direct competitors such as Multitel ([10-20] %) and a large number of smaller players such as CTE ([0-5] %) and Socage ([0-5] %).</w:t>
      </w:r>
    </w:p>
    <w:p>
      <w:r>
        <w:t>27. In a market limited to light VMAL, the new entity will hold [30-40] % market share and will notably continue to face the leader, the Klubb group ([40-50] %), as well as Multitel ([10-20] %).</w:t>
      </w:r>
    </w:p>
    <w:p>
      <w:r>
        <w:t>28. In a market limited to medium VMAL, the new entity will hold [50-60] % market share. However, the addition of market shares will be very limited, as the acquirer's presence in this market is very small with a market share of [0-5] % resulting from the sale of [0-5] aerial lifts in 2021. In 2019 and 2020, the acquiring group did not sell any medium VMAL. Furthermore, the new entity will notably continue to face competition from Klubb, whose market shares amount to [30-40] %. Additionally, the Italian operators Multitel and Socage, present in various countries of the European Union and whose market shares currently stand at [5-10] % and [0-5] % respectively, are also able to develop their business in France in the event of price increases. Indeed, the marketing of VMAL in France only requires obtaining a French or European certification allowing the sale of VMAL in all countries of the European Union.</w:t>
      </w:r>
    </w:p>
    <w:p>
      <w:r>
        <w:t>29. The operation is therefore not likely to harm competition through horizontal effects in the VMAL market, regardless of the delimitation considered.</w:t>
      </w:r>
    </w:p>
    <w:p>
      <w:r>
        <w:t>2. MARKETS FOR VMAL MAINTENANCE</w:t>
      </w:r>
    </w:p>
    <w:p>
      <w:r>
        <w:t>30. In the markets for VMAL maintenance, the competitive analysis is based on the estimated market shares in value provided by the notifying party.</w:t>
      </w:r>
    </w:p>
    <w:p>
      <w:r>
        <w:t>31. At the national level, the new entity will hold [30-40] % market share. It will continue to face competitive pressure from manufacturers such as Klubb ([10-20] %) and Palfinger ([5-10] %) as well as from independent repairers, who represent about half of the supply in this market.</w:t>
      </w:r>
    </w:p>
    <w:p>
      <w:r>
        <w:t>32. At the local level, the parties' activities overlap in two areas located within a radius of 120 kilometers around the target's maintenance centers, namely the areas of Couëron (44) and Laval (53); and in four areas located within a radius of 250 kilometers around the target's maintenance centers, namely the areas of Colomiers (31), Couëron (44), Laval (53), and Montussan (33).</w:t>
      </w:r>
    </w:p>
    <w:p>
      <w:r>
        <w:t>33. The analysis of these six local areas shows that the new entity will have a market share consistently below [40-50] %. In each of these areas, the new entity will continue to face competitive pressure from manufacturers such as Palfinger, Klubb, and Socage as well as from independent repairers. Therefore, any risk of harm to competition in these areas can be ruled out.</w:t>
      </w:r>
    </w:p>
    <w:p>
      <w:r>
        <w:t>34. The operation is therefore not likely to harm competition through horizontal effects in the VMAL maintenance market, regardless of the delimitation considered.</w:t>
      </w:r>
    </w:p>
    <w:p>
      <w:r>
        <w:t>B. ANALYSIS OF CONGLOMERATE EFFECTS</w:t>
      </w:r>
    </w:p>
    <w:p>
      <w:r>
        <w:t>35. A concentration may have conglomerate effects when the new entity extends or strengthens its presence in markets that are related to other markets where it holds market power. Certain conglomerate concentrations can indeed produce restrictive effects on competition when they allow for the technical or commercial tying of the sales of the new entity's products in a way that locks in the market and excludes competitors.</w:t>
      </w:r>
    </w:p>
    <w:p>
      <w:r>
        <w:t>36. The Competition Authority considers that it is unlikely that a company with a market share below 30 % in a given market can lock in a related market.</w:t>
      </w:r>
    </w:p>
    <w:p>
      <w:r>
        <w:t>37. In this case, the new entity holds market shares above 30 % in each of the VMAL markets. The operation will allow the acquirer to strengthen its position in the light VMAL market, where its market share will rise to [30-40] %, to become the leader in the medium VMAL market where it was very minimally present, while remaining the leader in the large VMAL market, where its market share stands at [60-70] %. It is therefore necessary to determine whether the new entity will be able to offer tied or bundled sales of VMAL of different sizes.</w:t>
      </w:r>
    </w:p>
    <w:p>
      <w:r>
        <w:t>38. However, according to the aforementioned guidelines of the Authority, a tied or bundled offer can only have an effect on competition in the relevant markets if a sufficient share of buyers is likely to be interested in the simultaneous purchase of the products in question.</w:t>
      </w:r>
    </w:p>
    <w:p>
      <w:r>
        <w:t>39. Now, each type of VMAL meets distinct needs for a specific clientele. In this regard, between 2019 and 2021, [0-5] of Time's customers, or [0-5] % of its clientele, purchased both a light VMAL and a medium VMAL. Similarly, between 2019 and 2021, [5-10] customers of Time, or [5-10] % of its clientele, purchased both a light VMAL and a large VMAL. Thus, only a residual share of VMAL buyers is likely to purchase different types of VMAL, so that assuming the new entity offers tied or bundled offers between its different types of VMAL, such an offer would have only a minor effect on the various VMAL markets.</w:t>
      </w:r>
    </w:p>
    <w:p>
      <w:r>
        <w:t>40. The operation is therefore not likely to harm competition through conglomerate effects.</w:t>
      </w:r>
    </w:p>
    <w:p>
      <w:r>
        <w:t>DECIDES</w:t>
      </w:r>
    </w:p>
    <w:p>
      <w:r>
        <w:t>Sole Article: The operation notified under number 22-045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