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https://www.autoritedelaconcurrence.fr/fr/decision-de-controle-des-concentrations/relative-la-prise-de-controle-exclusif-de-la-societe-feel</w:t>
      </w:r>
    </w:p>
    <w:p>
      <w:r>
        <w:t>Pages translated : 4</w:t>
      </w:r>
    </w:p>
    <w:p/>
    <w:p>
      <w:r>
        <w:rPr>
          <w:b/>
        </w:rPr>
        <w:t>[Pages 1–3]</w:t>
      </w:r>
    </w:p>
    <w:p>
      <w:r>
        <w:t xml:space="preserve">FRENCH REPUBLIC  </w:t>
        <w:br/>
        <w:t xml:space="preserve">Decision No. 17-DCC-17 of February 7, 2017  </w:t>
        <w:br/>
        <w:t xml:space="preserve">regarding the exclusive control of the company Feel Europe Groupe  </w:t>
        <w:br/>
        <w:t>by the group Société pour l’Information Industrielle</w:t>
      </w:r>
    </w:p>
    <w:p>
      <w:r>
        <w:t xml:space="preserve">The Competition Authority,  </w:t>
        <w:br/>
        <w:t xml:space="preserve">Having regard to the notification file submitted in full to the merger service on January 13, 2017,  </w:t>
        <w:br/>
        <w:t xml:space="preserve">regarding the exclusive control of the company Feel Europe Groupe by the group Société  </w:t>
        <w:br/>
        <w:t xml:space="preserve">pour l’Information Industrielle, formalized by a share transfer agreement dated  </w:t>
        <w:br/>
        <w:t xml:space="preserve">December 13, 2016;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group Société pour l’Information Industrielle (hereinafter, "SII") has as its parent company  </w:t>
        <w:br/>
        <w:t xml:space="preserve">Société pour l’Information Industrielle S.A., exclusively controlled by the Huvé family  </w:t>
        <w:br/>
        <w:t xml:space="preserve">which holds 54% of its capital and 68% of its voting rights. The activities of SII cover  </w:t>
        <w:br/>
        <w:t xml:space="preserve">all consulting and engineering services in the field of IT services: design and studies;  </w:t>
        <w:br/>
        <w:t xml:space="preserve">consulting and assistance in project management; network and information system architectures;  </w:t>
        <w:br/>
        <w:t xml:space="preserve">various services related to security and quality in information systems, for example. SII is present in Europe,  </w:t>
        <w:br/>
        <w:t xml:space="preserve">South America, Canada, Morocco, and Asia, through 66 sites.  </w:t>
        <w:br/>
        <w:t xml:space="preserve">2. The company Feel Europe Groupe (hereinafter, "FEG") is controlled by Mr. and Mrs. Sitbon who  </w:t>
        <w:br/>
        <w:t xml:space="preserve">hold, directly or indirectly, almost all of its share capital. FEG is a specialist in the organization of  </w:t>
        <w:br/>
        <w:t xml:space="preserve">information systems covering the needs for transformations and engineering of information systems  </w:t>
        <w:br/>
        <w:t xml:space="preserve">departments, almost exclusively in France. Its offer consists of four poles: consulting, technologies  </w:t>
        <w:br/>
        <w:t xml:space="preserve">(conception, development, maintenance), infrastructures (IT architecture, transformation project, etc.) and training  </w:t>
        <w:br/>
        <w:t xml:space="preserve">(office automation, IT, and management).  </w:t>
        <w:br/>
        <w:t xml:space="preserve">3. The operation, formalized by a share transfer agreement dated December 13, 2016,  </w:t>
        <w:br/>
        <w:t xml:space="preserve">consists of the acquisition by SII of 100% of the shares of FEG.  </w:t>
        <w:br/>
        <w:t xml:space="preserve">4. As it results in the exclusive control of FEG by SII, the notified operation constitutes a concentration operation  </w:t>
        <w:br/>
        <w:t xml:space="preserve">within the meaning of Article L. 430-1 of the Commercial Code.  </w:t>
        <w:br/>
        <w:t xml:space="preserve">5. The companies concerned together achieve a total worldwide turnover excluding taxes of  </w:t>
        <w:br/>
        <w:t xml:space="preserve">more than 150 million euros (SII: 360.1 million euros for the fiscal year ended March 31, 2016;  </w:t>
        <w:br/>
        <w:t xml:space="preserve">FEG: 58.3 million euros for the fiscal year ended December 31, 2015). Each of these companies has achieved  </w:t>
        <w:br/>
        <w:t xml:space="preserve">in France a total turnover excluding taxes exceeding 50 million euros (SII: 203.7 million euros for the fiscal year  </w:t>
        <w:br/>
        <w:t xml:space="preserve">ended March 31, 2016; FEG: 58.2 million euros for the fiscal year ended December 31, 2015). Given these turnover figures,  </w:t>
        <w:br/>
        <w:t xml:space="preserve">the operation does not fall under the jurisdiction of the European Union. On the other hand,  </w:t>
        <w:br/>
        <w:t xml:space="preserve">the control thresholds mentioned in I of Article L. 430-2 of the Commercial Code are exceeded.  </w:t>
        <w:br/>
        <w:t xml:space="preserve">This operation is therefore subject to the provisions of Articles L. 430-3 and following of the Commercial Code  </w:t>
        <w:br/>
        <w:t>relating to economic concentration.</w:t>
      </w:r>
    </w:p>
    <w:p>
      <w:r>
        <w:t xml:space="preserve">II. Delimitation of the relevant markets  </w:t>
        <w:br/>
        <w:t xml:space="preserve">6. SII and FEG are simultaneously present in the IT services market.  </w:t>
        <w:br/>
        <w:t xml:space="preserve">A. THE IT SERVICES MARKET  </w:t>
        <w:br/>
        <w:t xml:space="preserve">1. PRODUCT MARKET  </w:t>
        <w:br/>
        <w:t xml:space="preserve">7. The European and national competition authorities have identified, within the IT services market, seven functional categories of services: (i) global management services, (ii) business management services, (iii) software development and integration, (iv) consulting, (v) software maintenance and logistical support, (vi) maintenance of IT equipment and logistical support, and (vii) teaching and training. However, it has not been excluded that these seven categories of services could be considered as belonging to a global market for IT services to the extent  </w:t>
        <w:br/>
        <w:t xml:space="preserve">where clients generally seek a service integrating all the activities described above, and there is a high degree of substitutability on the supply side.  </w:t>
        <w:br/>
        <w:t xml:space="preserve">8. The parties are simultaneously active in the functional categories of software development and integration, as well as consulting.  </w:t>
        <w:br/>
        <w:t xml:space="preserve">9. Different alternative or complementary segmentations have been considered according to:  </w:t>
        <w:br/>
        <w:t xml:space="preserve">- the type of clientele: SMEs-SMIs or large accounts;  </w:t>
        <w:br/>
        <w:t xml:space="preserve">-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communication infrastructure and enterprise network systems;  </w:t>
        <w:br/>
        <w:t xml:space="preserve">- the sector of activity: (i) communications, (ii) education, (iii) energy and local networks, (iv) financial services, (v) public sector, (vi) health, (vii) industry, (viii) commerce and distribution, (ix) services, and (x) transport.  </w:t>
        <w:br/>
        <w:t xml:space="preserve">10. There is no need to challenge these segmentations during the analysis of the present operation.  </w:t>
        <w:br/>
        <w:t>11. According to these different segmentations considered, the parties are simultaneously active in the segment of large account clients to whom they provide management application systems, in the following sectors: communications; energy and local networks; financial services; industry; commerce and distribution; and services.</w:t>
      </w:r>
    </w:p>
    <w:p>
      <w:r>
        <w:t xml:space="preserve">2. GEOGRAPHICAL MARKET  </w:t>
        <w:br/>
        <w:t xml:space="preserve">12. The Competition Authority has considered that the market for IT services is of national dimension, notably due to the necessity for service providers to communicate regularly in the language of their clients and to maintain a relative proximity with them.  </w:t>
        <w:br/>
        <w:t>13. In this case, the competitive analysis will be conducted at the national level. A broader definition of geographical markets would not change the conclusions of the competitive analysis, as FEG is almost exclusively active in France.</w:t>
      </w:r>
    </w:p>
    <w:p>
      <w:r>
        <w:t xml:space="preserve">III. Competitive analysis  </w:t>
        <w:br/>
        <w:t>14. SII and FEG are simultaneously active in the IT services market. In this market, the market share of the new entity will be less than 1%, with an increment of approximately 0.2 points in France. It will continue to face competition from large global groups, such as Cap Gemini, Atos, or IBM.</w:t>
      </w:r>
    </w:p>
    <w:p>
      <w:r>
        <w:rPr>
          <w:b/>
        </w:rPr>
        <w:t>[Pages 4–4]</w:t>
      </w:r>
    </w:p>
    <w:p>
      <w:r>
        <w:t>15. Furthermore, regardless of the market segmentations of IT services retained, the market share of the new entity will systematically be below 1%.</w:t>
      </w:r>
    </w:p>
    <w:p>
      <w:r>
        <w:t>16. Consequently, the present operation is not likely to harm competition through horizontal effects in the IT services market.</w:t>
      </w:r>
    </w:p>
    <w:p>
      <w:r>
        <w:t>DECIDES</w:t>
      </w:r>
    </w:p>
    <w:p>
      <w:r>
        <w:t>Sole Article: The operation notified under number 17-004 is authorized.</w:t>
      </w:r>
    </w:p>
    <w:p>
      <w: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