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https://www.autoritedelaconcurrence.fr/fr/decision-de-controle-des-concentrations/relative-la-prise-de-controle-exclusif-de-la-societe-fima</w:t>
      </w:r>
    </w:p>
    <w:p>
      <w:r>
        <w:t>Pages translated : 6</w:t>
      </w:r>
    </w:p>
    <w:p/>
    <w:p>
      <w:r>
        <w:rPr>
          <w:b/>
        </w:rPr>
        <w:t>[Pages 1–3]</w:t>
      </w:r>
    </w:p>
    <w:p>
      <w:r>
        <w:t xml:space="preserve">FRENCH REPUBLIC  </w:t>
        <w:br/>
        <w:t xml:space="preserve">Decision No. 11-DCC-104 of July 4, 2011  </w:t>
        <w:br/>
        <w:t xml:space="preserve">regarding the exclusive control of the company FIMA by the Société Financière de Turenne Lafayette  </w:t>
        <w:br/>
        <w:t xml:space="preserve">The Competition Authority,  </w:t>
        <w:br/>
        <w:t xml:space="preserve">Having regard to the notification file submitted in full to the merger service on May 26, 2011, regarding the exclusive control of the company FIMA by the Société Financière de Turenne Lafayette, formalized by an acquisition protocol dated June 7,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Société Financière de Turenne Lafayette (hereinafter "SFTL") is a holding company controlled by Mrs. X who holds […] % of its capital. SFTL controls several companies active notably in the industrial cured meat sector. Its subsidiaries include the companies Paul Prédault, Montagne Noire, and William Saurin. Mrs. X also controls the company Les Comptoirs du Biscuit specialized in the production of biscuits.  </w:t>
        <w:br/>
        <w:t xml:space="preserve">2. FIMA is a holding company through which the Madrangeas family holds […] % of the capital of the company Latronche Madrangeas1, the parent company of the Madrange group (hereinafter "Madrange"). Madrange is active in the industrial cured meat sector and primarily produces cooked meats, including cooked ham, mousses and terrines, sausages, culinary aids such as lardons, and chorizo.  </w:t>
        <w:br/>
        <w:t>1 The total direct and indirect holdings of the Madrangeas family represent […] % of the capital of the company Latronche Madrangeas.</w:t>
      </w:r>
    </w:p>
    <w:p>
      <w:r>
        <w:t xml:space="preserve">3. Under the terms of the transfer protocol dated June 7, 2011, it is provided that SFTL will acquire all the shares of the company FIMA, with the shares of the company Latronche Madrangeas having been previously transferred to the latter in their entirety.  </w:t>
        <w:br/>
        <w:t xml:space="preserve">4. As it results in the exclusive control of the Madrange group by SFTL, the notified operation constitutes a concentration within the meaning of Article L. 430-1 of the Commercial Code. The companies concerned have together achieved a consolidated worldwide turnover excluding taxes of more than 150 million euros in the last closed financial year (SFTL: […] million euros for the financial year ended December 31, 2010; Madrange: […] million euros for the financial year ended December 31, 2010). Each of these companies has achieved, in France, a turnover exceeding 50 million euros (SFTL: […] million euros for the financial year ended December 31, 2010; Madrange: […] million euros for the financial year ended December 31, 2010).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activities of the parties overlap in the industrial cured meat sector.  </w:t>
        <w:br/>
        <w:t xml:space="preserve">A. THE PRODUCT MARKETS  </w:t>
        <w:br/>
        <w:t xml:space="preserve">6. The decision-making practice2 refers to several criteria to segment the cured meat product markets: the family to which the product belongs, the distribution channel, the mode of distribution (self-service or cut-to-order), and the positioning of the products.  </w:t>
        <w:br/>
        <w:t xml:space="preserve">7. Regarding segmentation by product family, INSEE, the Ministry of Agriculture, and the French Federation of Cured Meat, Caterers, and Meat Processors (hereinafter "FICT") use a nomenclature that distinguishes twenty-three product families grouped according to their mode of preparation (raw or cooked), the technology employed (salting, drying, smoking, cooking, canning, freezing), and the nature of the meat used (pork, poultry, beef, game, etc.). This segmentation into twenty-three product families has been adopted by national decision-making practice3. The parties are simultaneously present in twelve product families: Cooked hams, cooked shoulders, cooked poultry meats, dry hams, sausages and salamis, pâtés and various preparations based on liver4, pâtés and various preparations based on poultry and game, pâtés and various preparations based on pork, and other salted, dried, or smoked pork meats.  </w:t>
        <w:br/>
        <w:t xml:space="preserve">2 See in particular the decision of the Competition Authority No. 09-DCC-52 of October 12, 2009, as well as the letter from the Minister of Economy No. C2007-153 of February 15, 2008.  </w:t>
        <w:br/>
        <w:t xml:space="preserve">3 See in particular the decision of the Competition Authority No. 09-DCC-52 cited above, as well as the letter from the Minister of Economy No. C2007-153 cited above.  </w:t>
        <w:br/>
        <w:t>4 Since December 2010, SFTL […] remains active in the markets for pâtés sold under the manufacturer's brand.</w:t>
      </w:r>
    </w:p>
    <w:p>
      <w:r>
        <w:t xml:space="preserve">8. Furthermore, Madrange is the only active entity in the smoked breast category. For its part, SFTL is also present in the markets for dried beef meats and other cooked pieces, from which Madrange is absent.  </w:t>
        <w:br/>
        <w:t xml:space="preserve">9. Regarding segmentation by distribution channel, the market for the sale of cured meat products is divided according to whether the cured meat is intended for (i) retail businesses (large stores, medium-sized stores, and local shops), for home consumption (hereinafter "GMS and local shops"); (ii) establishments specializing in out-of-home catering (collective catering, commercial catering) and wholesalers (hereinafter "RHF and wholesalers") or (iii) agri-food industries (hereinafter "IAA"). These three circuits then form distinct markets, insofar as, in particular, the products require specific packaging. Furthermore, within local shops, decision-making practice has considered distinguishing butcher-caterers (hereinafter "BCT") from other traditional shops and so-called "modern" shops6. In any case, the question of delimiting a distinct market for BCT may remain open in this case, as the conclusions of the analysis remain unchanged regardless of the hypothesis adopted.  </w:t>
        <w:br/>
        <w:t xml:space="preserve">10. Regarding the mode of distribution, within sales to GMS and local shops, an additional segmentation can be made7 between self-service sales (pre-sliced products) and cut-to-order sales.  </w:t>
        <w:br/>
        <w:t xml:space="preserve">11. Finally, regarding the commercial positioning of the products, for the cured meats offered to end customers by GMS and local shops, an additional segmentation can be made8 between, on the one hand, branded products (MDF) and, on the other hand, private label products (MDD), low-cost brands (MPP), and hard discount brands (MHD) (hereinafter referred to collectively as "MDD" for all MDD, MPP, and MHD brands).  </w:t>
        <w:br/>
        <w:t xml:space="preserve">12. Indeed, manufacturers of products sold under MDD only intervene in accordance with a specification defined by the brand and have no role in defining the commercial strategies of these brands (decisions to launch new products, communication policy, etc.). The identity of the operator supplying a brand for its MDD remains unknown to the end consumer. Furthermore, purchases from manufacturers of products sold under MDD are most often made through tenders, and the contracts are of short duration.  </w:t>
        <w:br/>
        <w:t xml:space="preserve">13. The Competition Authority has, however, observed on several occasions9 that on the demand side, MDD exert a significant competitive pressure on MDF, with consumers making a choice between all the products offered, whether under MDD or MDF, as evidenced by the steady increase in the share of MDD in each product category10. The intensity of this competition may differ according to product categories depending on the differentiation strategies of MDF and their notoriety.  </w:t>
        <w:br/>
        <w:t xml:space="preserve">5 See in particular decisions No. 09-DCC-52 and No. C2007-153 cited above, as well as the letter from the Minister of Economy No. C2006-72 of August 18, 2006.  </w:t>
        <w:br/>
        <w:t xml:space="preserve">6 See in particular the letter from the Minister of Economy No. C2008-28 of April 23, 2008.  </w:t>
        <w:br/>
        <w:t xml:space="preserve">7 See in particular decisions No. 09-DCC-52 and No. C2007-153 cited above, as well as the letter from the Minister of Economy No. C2008-28 of April 23, 2008.  </w:t>
        <w:br/>
        <w:t xml:space="preserve">8 Ibid.  </w:t>
        <w:br/>
        <w:t xml:space="preserve">9 See the decisions of the Competition Authority No. 09-DCC-48 of September 22, 200, No. 09-DCC-67 of November 23, 2009, and No. 10-DCC-21.  </w:t>
        <w:br/>
        <w:t>10 For cured meats, the notifying parties indicate that MDD represent on average 51% of total sales.</w:t>
      </w:r>
    </w:p>
    <w:p>
      <w:r>
        <w:rPr>
          <w:b/>
        </w:rPr>
        <w:t>[Pages 4–6]</w:t>
      </w:r>
    </w:p>
    <w:p>
      <w:r>
        <w:t>14. Moreover, on the supply side, the same manufacturers often provide large retailers with both private label products and branded products. Their positions in the two product segments are therefore interdependent as they determine the use of their capacities and their development prospects.</w:t>
      </w:r>
    </w:p>
    <w:p>
      <w:r>
        <w:t>15. In this case, the question of substitutability between branded products and private label products can remain open insofar as the conclusions of the competitive analysis remain unchanged regardless of the delineation adopted. The analysis of the market power of the new entity was therefore conducted for each product family, on the one hand within the sole segment of branded products and, on the other hand, on the market of all products offered to consumers by large retail chains (including branded products, private label products, MPP, and MHD). Furthermore, the market power of SFTL is also analyzed in the market involving large retail chains and all suppliers of private label products.</w:t>
      </w:r>
    </w:p>
    <w:p>
      <w:r>
        <w:t>B. GEOGRAPHICAL MARKETS</w:t>
      </w:r>
    </w:p>
    <w:p>
      <w:r>
        <w:t>16. National and community competition authorities have retained a national dimension for the markets of cured meat products. There is no reason to challenge this delineation in the context of the present operation.</w:t>
      </w:r>
    </w:p>
    <w:p>
      <w:r>
        <w:t>III. Competitive Analysis</w:t>
      </w:r>
    </w:p>
    <w:p>
      <w:r>
        <w:t>A. ANALYSIS OF HORIZONTAL EFFECTS</w:t>
      </w:r>
    </w:p>
    <w:p>
      <w:r>
        <w:t>17. As a preliminary point, it should be noted that a previous project involving the acquisition of exclusive control of Madrange by SFTL was notified to the Minister of Economy, who authorized it by letter dated April 23, 2008.</w:t>
      </w:r>
    </w:p>
    <w:p>
      <w:r>
        <w:t>18. The notifying party provided an estimate of the market share it will hold in France following the proposed operation, for each of the families of cured meat products concerned and segmented according to the distribution channel, mode of distribution (self-service or cut-to-order), and product positioning. In light of this data, it appears that the positions of the new entity will be below 25% across all segments considered by practice, with the exception of three families of cured meat products sold under private labels by large retail chains: dry hams, cooked poultry, and cooked hams.</w:t>
      </w:r>
    </w:p>
    <w:p>
      <w:r>
        <w:t>19. Firstly, regarding dry hams sold under private labels, SFTL's market share will be [20-30]% once the operation is completed. However, it should be noted that in this segment, the increment in market share is relatively low since Madrange's position is estimated at [0-5]% (with the notifying party's position being [20-30]% before the operation). SFTL will also continue to face competition from groups such as Smithfield/Campofrio and Maisadour.</w:t>
      </w:r>
    </w:p>
    <w:p>
      <w:r>
        <w:t>20. In the market for cooked poultry sold under private labels, SFTL's market share will also rise to [20-30]% following the concentration (i.e., [10-20]% for SFTL and [10-20]% for Madrange). However, the new entity will remain subject to competition from LDC poultry, which had a market share in the sector of processed cooked poultry products ranging from 20% to 30% for private labels in 2009.</w:t>
      </w:r>
    </w:p>
    <w:p>
      <w:r>
        <w:t>21. Finally, in the market for cooked hams sold under private labels, SFTL's market share will reach [30-40]% after the acquisition of Madrange (i.e., [10-20]% for SFTL and [20-30]% for Madrange). The new entity will, however, be subject to competition from powerful groups such as Smithfield/Campofrio, the market leader in processed meat in Europe, whose position is estimated in France at [20-30]% in the segment of cooked hams sold under private labels, as well as Cooperl Arc Atlantique ([10-20]% market share in the cooked hams segment). It should also be noted that some groups of large retail chains have established production capacity in cured meat products, particularly cooked hams, such as the ITM Entreprises group with Monique Rannou or Leclerc with its subsidiary Kermené. Furthermore, the notifying party observes that groups primarily positioned in the market for cooked hams sold under branded products (notably Nestlé with the Herta brand and Fleury Michon) are able to offer this type of product for distribution under private labels.</w:t>
      </w:r>
    </w:p>
    <w:p>
      <w:r>
        <w:t>22. In light of the above, the present operation is not likely to harm competition in the markets for cured meat products through horizontal effects.</w:t>
      </w:r>
    </w:p>
    <w:p>
      <w:r>
        <w:t>B. ANALYSIS OF CONGLOMERATE EFFECTS</w:t>
      </w:r>
    </w:p>
    <w:p>
      <w:r>
        <w:t>23. The present operation will allow SFTL to strengthen its presence in several families of cured meat products and to expand its range with the distribution of smoked breasts. However, although holding such a range may be a selling point for certain customers, the new entity will not, following the present operation, have a sufficiently significant position in any of the families of products it distributes to exploit any potential leverage effect. Furthermore, SFTL will face competition from large groups that also have a significant range such as Smithfield/Campofrio, Fleury Michon, or Cooperl Arc Atlantique.</w:t>
      </w:r>
    </w:p>
    <w:p>
      <w:r>
        <w:t>24. Similarly, the present operation will allow SFTL to increase its brand portfolio with the consolidation of Paul Prédault and Madrange. However, the cured meat sector is characterized by the presence of several competing brands, the notoriety of which has already been highlighted by the Competition Authority: Herta (Nestlé Group), Fleury Michon, Aoste, and Justin Bribou (the latter two brands belonging to the Smithfield/Campofrio group). For illustration, the magazine LSA noted in an article dated June 3, 2010, that the market for cooked ham under branded products was primarily "contested by Fleury Michon, the number one in the category, and by Herta." According to LSA, even though "Madrange has not completely disappeared from consumers' minds, as evidenced by its awareness rate (68%)," the brand has seen a significant decline, "pushed out by Casino as well as Carrefour."</w:t>
      </w:r>
    </w:p>
    <w:p>
      <w:r>
        <w:t>25. In light of the above, the present operation is not likely to harm competition in the markets for cured meat products through conglomerate effects.</w:t>
      </w:r>
    </w:p>
    <w:p>
      <w:r>
        <w:t>DECIDES</w:t>
      </w:r>
    </w:p>
    <w:p>
      <w:r>
        <w:t>Sole Article: The operation notified under number 11-0095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