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https://www.autoritedelaconcurrence.fr/fr/decision-de-controle-des-concentrations/relative-la-prise-de-controle-exclusif-de-la-societe-finaxi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24-DCC-211 of September 30, 2024</w:t>
        <w:br/>
        <w:t>regarding the exclusive control acquisition of the company Finaxi and its</w:t>
        <w:br/>
        <w:t>subsidiaries by the company Cinven</w:t>
        <w:br/>
        <w:t>The Competition Authority,</w:t>
        <w:br/>
        <w:t>Having regard to the complete notification file sent to the mergers department on</w:t>
        <w:br/>
        <w:t>September 11, 2024, concerning the exclusive control acquisition of the company Finaxi and its subsidiaries,</w:t>
        <w:br/>
        <w:t>by the company Cinven Capital Management, formalized on August 13, 2024, by a unilateral purchase promise;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the company Cinven, via the company</w:t>
        <w:br/>
        <w:t>Financière Olympique, an investment vehicle created for the needs of the operation, of the</w:t>
        <w:br/>
        <w:t>entire share capital and voting rights of the company Finaxi and its subsidiaries, active in</w:t>
        <w:br/>
        <w:t>the brokerage of insurance products and banking financing products. It constitutes a</w:t>
        <w:br/>
        <w:t>concentration operation within the meaning of Article L. 430-1 of the Commercial Code. Given the</w:t>
        <w:br/>
        <w:t>turnover achieved by the concerned companies, the operation does not fall under the</w:t>
        <w:br/>
        <w:t>competence of the European Union. On the other hand, the control thresholds mentioned in I of</w:t>
        <w:br/>
        <w:t>Article L. 430-2 of the Commercial Code are exceeded. The present operation is therefore subject</w:t>
        <w:br/>
        <w:t>to the provisions of Articles L. 430-3 and following of the Commercial Code relating to</w:t>
        <w:br/>
        <w:t>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24-224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