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https://www.autoritedelaconcurrence.fr/fr/decision-de-controle-des-concentrations/relative-la-prise-de-controle-exclusif-de-la-societe-finizy</w:t>
      </w:r>
    </w:p>
    <w:p>
      <w:r>
        <w:t>Pages translated : 5</w:t>
      </w:r>
    </w:p>
    <w:p/>
    <w:p>
      <w:r>
        <w:rPr>
          <w:b/>
        </w:rPr>
        <w:t>[Pages 1–3]</w:t>
      </w:r>
    </w:p>
    <w:p>
      <w:r>
        <w:t xml:space="preserve">FRENCH REPUBLIC  </w:t>
        <w:br/>
        <w:t xml:space="preserve">Decision No. 17-DCC-13 of January 27, 2017  </w:t>
        <w:br/>
        <w:t xml:space="preserve">regarding the exclusive control of the company Finizy by the company  </w:t>
        <w:br/>
        <w:t xml:space="preserve">Goldman Sachs Group  </w:t>
        <w:br/>
        <w:t xml:space="preserve">The Competition Authority,  </w:t>
        <w:br/>
        <w:t xml:space="preserve">Having regard to the notification file sent to the merger service on January 6, 2017, regarding the exclusive control of the company Finizy by the company Goldman Sachs Group, formalized by a share transfer agreement and a call option agreement dated December 17,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Goldman Sachs Group Inc. (hereinafter "Goldman Sachs") is an international investment bank primarily operating in the sectors of investment banking, capital markets, and financial advisory. Goldman Sachs is not a controlled company, within the meaning of merger law, as its shareholders, varied and numerous, do not have any decisive influence over the company. Its subsidiary Goldman Sachs &amp; Co controls the investment funds West Street Capital Partners VII Special Investments Offshore, L.P. and West Street Capital Partners VII – Parallel, L.P. (hereinafter the "WSCP VII" funds).  </w:t>
        <w:br/>
        <w:t xml:space="preserve">2. Finizy SAS (hereinafter "Finizy") heads a group primarily active in the sectors of insurance intermediation and banking products and services for individuals and professionals1. The historical entity of the group, the company Meilleurtaux, is notably specialized in mortgage credit intermediation. Finizy is controlled by the investment fund Equistone IV FVPR.  </w:t>
        <w:br/>
        <w:t xml:space="preserve">3. Under the terms of a draft share transfer agreement and a call option agreement dated December 17, 2016, the WSCP VII funds are to acquire all shares of Finizy. As it results in the exclusive control of Finizy by Goldman Sachs, the notified operation constitutes a concentration within the meaning of Article L. 430-1 of the Commercial Code.  </w:t>
        <w:br/>
        <w:t xml:space="preserve">4. The companies concerned together achieve a total worldwide turnover excluding taxes of more than 150 million euros (Goldman Sachs: [...] euros for the fiscal year ending December 31, 2015; Finizy group: [...] euros for the same fiscal year2). Each of these companies has achieved in France a turnover exceeding 50 million euros (Goldman Sachs: [...] euros for the fiscal year ending December 31, 2015; Finizy group: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5. In France, the activities of the parties do not overlap in the same product and service markets, and Goldman Sachs is not active in upstream or downstream markets of those in which Finizy is active, particularly the markets for brokerage in banking products (mortgage credit) and borrower insurance. However, Goldman Sachs is active in related geographical markets, as it has recently begun offering retail banking services aimed at individuals, only in the United States. The assumption in which Goldman Sachs would offer retail banking products and services in France in the short or medium term has therefore been taken into account for the purposes of this analysis. Indeed, retail banking markets have a vertical link with the banking operations intermediation markets in which the Finizy group is active in France.  </w:t>
        <w:br/>
        <w:t xml:space="preserve">A. THE SERVICE MARKETS  </w:t>
        <w:br/>
        <w:t xml:space="preserve">1. THE RETAIL BANKING MARKETS  </w:t>
        <w:br/>
        <w:t xml:space="preserve">6. Retail banking encompasses banking services aimed at individuals and households. According to the decision-making practice of the Competition Authority, entrepreneurs can also be considered as retail banking clients, insofar as their needs are closer to those of individuals than those of commercial companies3.  </w:t>
        <w:br/>
        <w:t xml:space="preserve">7. Several markets have been distinguished: (i) demand deposits, (ii) banking savings (notably savings certificates and accounts not immediately available such as term accounts), (iii) off-balance sheet savings (Société d’Investissement à Capital Variable, Fonds Commun de Placement, and pension funds), (iv) mortgage credit, (v) consumer credit, (vi) debt restructuring credit, (vii) issuance of payment cards (issuance for the benefit of clients), (viii) private banking, and (ix) securities custody4.  </w:t>
        <w:br/>
        <w:t xml:space="preserve">8. In the present case, there is no need to challenge these market delineations.  </w:t>
        <w:br/>
        <w:t xml:space="preserve">2. THE MARKETS FOR BANKING OPERATIONS INTERMEDIATION  </w:t>
        <w:br/>
        <w:t xml:space="preserve">9. The decision-making practice of the Competition Authority has considered that the activity of intermediaries in banking operations, such as brokers in real estate financing products, could be distinguished from the activity of banks themselves5. It has therefore envisaged the existence of a market for banking operations intermediation, distinct from the market for the provision of banking services.  </w:t>
        <w:br/>
        <w:t xml:space="preserve">10. This market can be segmented based on the type of banking services distributed and the type of clients6. The existence of a market for the distribution of real estate financing products (mortgage credit products and consumer credit products used either for financing security deposits for goods distributed by a property management network or for financing works in condominiums) aimed at a clientele of individuals has thus been envisaged.  </w:t>
        <w:br/>
        <w:t xml:space="preserve">11. In the present case, there is no need to challenge these market delineations.  </w:t>
        <w:br/>
        <w:t xml:space="preserve">B. THE GEOGRAPHICAL MARKETS  </w:t>
        <w:br/>
        <w:t xml:space="preserve">1. THE RETAIL BANKING MARKETS  </w:t>
        <w:br/>
        <w:t xml:space="preserve">12. Decision-making practice generally considers that retail banking markets are at most of national dimension, despite some European harmonization7.  </w:t>
        <w:br/>
        <w:t xml:space="preserve">13. Regarding banking services for individuals, decision-making practice8 has also considered that the proximity of agencies is an important factor as it mainly concerns, to date, relational activities. It has also emphasized that the competitive conditions in metropolitan territory are not homogeneous, particularly given the significant role held by mutualist networks in the French banking system,  </w:t>
        <w:br/>
        <w:t xml:space="preserve">2 See, for example, the decision of the Competition Authority No. 09-DCC-16 of June 22, 2009, regarding the merger between the Caisse d’Epargne and Banque Populaire groups.  </w:t>
        <w:br/>
        <w:t xml:space="preserve">4 See the aforementioned decision No. 09-DCC-16 and the decisions of the Competition Authority No. 10-DCC-116 of September 10, 2010, regarding the exclusive control of the bank Société Marseillaise de Crédit by the Société Générale-Crédit du Nord group and No. 15-DCC-105 of August 12, 2015, regarding the joint control of the company Primonial Holding by the companies Crédit Mutuel Arkéa, Primonial Management, Blackfin, and Latour Capital.  </w:t>
        <w:br/>
        <w:t xml:space="preserve">5 Ibid.  </w:t>
        <w:br/>
        <w:t xml:space="preserve">6 Ibid.  </w:t>
        <w:br/>
        <w:t xml:space="preserve">7 Ibid.  </w:t>
        <w:br/>
        <w:t>8 Ibid.</w:t>
      </w:r>
    </w:p>
    <w:p>
      <w:r>
        <w:rPr>
          <w:b/>
        </w:rPr>
        <w:t>[Pages 4–5]</w:t>
      </w:r>
    </w:p>
    <w:p>
      <w:r>
        <w:t xml:space="preserve">cooperatives, differences in establishment between banking groups, adaptation of commercial strategies to the local competitive context, and the existence of regional banking brands. The competitive analysis was thus conducted both at the national level and at the local level, with practice having adopted, for the latter level, circles with a radius corresponding to a journey of about twenty minutes by car around a municipality.  </w:t>
        <w:br/>
        <w:t xml:space="preserve">14. In the present case, there is no need to challenge these market delineations.  </w:t>
        <w:br/>
        <w:t xml:space="preserve">2. MARKETS FOR BANKING OPERATIONS INTERMEDIATION  </w:t>
        <w:br/>
        <w:t xml:space="preserve">15. Decision-making practice has considered that the markets for banking operations intermediation are of national dimension9.  </w:t>
        <w:br/>
        <w:t xml:space="preserve">III. Competitive Analysis  </w:t>
        <w:br/>
        <w:t xml:space="preserve">16. A vertical concentration may restrict competition by making access to the markets in which the new entity will be active more difficult, or even potentially excluding competitors or penalizing them by increasing their costs. This lock-in may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considers that a risk of vertical effect can, in principle, be ruled out as long as the market share of the company resulting from the operation in the relevant markets does not exceed 30%.  </w:t>
        <w:br/>
        <w:t xml:space="preserve">17. In this case, assuming that Goldman Sachs were to enter the retail banking markets in France, the acquisition of Finizy would be likely to produce vertical effects insofar as the markets for banking operations intermediation are located downstream of the credit markets, particularly mortgage credit.  </w:t>
        <w:br/>
        <w:t xml:space="preserve">18. However, regardless of the market segmentations considered, Finizy has a market share that does not exceed [10-20]%, including in the mortgage credit brokerage segment, where significant players such as CAFPI, Empruntis / Immoprêt, ACE, INFI, and La Centrale de Financement are active.  </w:t>
        <w:br/>
        <w:t xml:space="preserve">19. Finizy's limited positions in the markets for banking operations intermediation and the existence of numerous competitors are not likely to characterize a leverage effect capable of producing anti-competitive effects in the retail banking markets in France, where significant groups are also currently present.  </w:t>
        <w:br/>
        <w:t xml:space="preserve">20. Consequently, the operation is not likely to harm competition through vertical effects in the retail banking and banking operations intermediation markets.  </w:t>
        <w:br/>
        <w:t xml:space="preserve">9 Ibid.  </w:t>
        <w:br/>
        <w:t>4</w:t>
      </w:r>
    </w:p>
    <w:p>
      <w:r>
        <w:t xml:space="preserve">DECIDES  </w:t>
        <w:br/>
        <w:t xml:space="preserve">Sole Article: The operation notified under number 16-276 is authorized.  </w:t>
        <w:br/>
        <w:t xml:space="preserve">The President,  </w:t>
        <w:br/>
        <w:t xml:space="preserve">Isabelle de Silva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