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https://www.autoritedelaconcurrence.fr/fr/decision-de-controle-des-concentrations/relative-la-prise-de-controle-exclusif-de-la-societe-fizoe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19-DCC-03 of January 11, 2019  </w:t>
        <w:br/>
        <w:t xml:space="preserve">regarding the exclusive control acquisition of the company Fizoe by the company  </w:t>
        <w:br/>
        <w:t xml:space="preserve">Egofi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24, 2018, concerning the exclusive control acquisition of the company Fizoe by the company Egofi,  </w:t>
        <w:br/>
        <w:t xml:space="preserve">materialized by a transfer protocol dated December 7,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by the company Egofi of exclusive control of the  </w:t>
        <w:br/>
        <w:t xml:space="preserve">company Fizoe, which primarily operates a food-dominant retail outlet, with an area of 3,556 m², under the  </w:t>
        <w:br/>
        <w:t xml:space="preserve">Super U brand, located in the city of Saint-Sébastien-sur-Loire (44). This operation constitutes a concentration  </w:t>
        <w:br/>
        <w:t xml:space="preserve">operation within the meaning of Article L. 430-1 of the Commercial Code. Given the revenues generated by the  </w:t>
        <w:br/>
        <w:t xml:space="preserve">concerned companies, the operation does not fall under the jurisdiction of the European Union. However, the  </w:t>
        <w:br/>
        <w:t xml:space="preserve">control thresholds related to retail trade mentioned in point II of Article L. 430-2 of the Commercial Code are  </w:t>
        <w:br/>
        <w:t xml:space="preserve">exceeded. This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18-297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