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https://www.autoritedelaconcurrence.fr/fr/decision-de-controle-des-concentrations/relative-la-prise-de-controle-exclusif-de-la-societe-floa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21-DCC-194 of November 9, 2021  </w:t>
        <w:br/>
        <w:t xml:space="preserve">regarding the exclusive control of the company Floa by the BNP Paribas group  </w:t>
        <w:br/>
        <w:t xml:space="preserve">The Competition Authority,  </w:t>
        <w:br/>
        <w:t xml:space="preserve">Having regard to the complete notification file submitted to the mergers department on October 21, 2021,  </w:t>
        <w:br/>
        <w:t xml:space="preserve">concerning the acquisition of control of the company Floa by the BNP Paribas group, formalized by an  </w:t>
        <w:br/>
        <w:t xml:space="preserve">acquisition contract dated October 5,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by the BNP Paribas group of the  </w:t>
        <w:br/>
        <w:t xml:space="preserve">company Floa. The acquirer and the target are simultaneously active in the markets for consumer credit,  </w:t>
        <w:br/>
        <w:t xml:space="preserve">payment card issuance, and in the markets for the distribution of insurance on behalf of third parties. The  </w:t>
        <w:br/>
        <w:t xml:space="preserve">acquirer is also active in the production of insurance products. This operation is a concentration operation  </w:t>
        <w:br/>
        <w:t xml:space="preserve">within the meaning of Article L. 430-1 of the Commercial Code. Given the turnover achieved by the  </w:t>
        <w:br/>
        <w:t xml:space="preserve">concerned companies, the operation does not fall under the jurisdiction of the European Union. On the  </w:t>
        <w:br/>
        <w:t xml:space="preserve">other hand, the control thresholds mentioned in I of Article L. 430-2 of the Commercial Code are exceeded.  </w:t>
        <w:br/>
        <w:t xml:space="preserve">This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21-178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