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https://www.autoritedelaconcurrence.fr/fr/decision-de-controle-des-concentrations/relative-la-prise-de-controle-exclusif-de-la-societe-flower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22-DCC-170 of September 12, 2022  </w:t>
        <w:br/>
        <w:t xml:space="preserve">regarding the exclusive control of the company Flower Holding by  </w:t>
        <w:br/>
        <w:t xml:space="preserve">the Duval group  </w:t>
        <w:br/>
        <w:t xml:space="preserve">The Competition Authority,  </w:t>
        <w:br/>
        <w:t xml:space="preserve">Having regard to the complete notification file sent to the mergers department on August 25, 2022,  </w:t>
        <w:br/>
        <w:t xml:space="preserve">concerning the acquisition of control of the company Flower Holding by the Duval group, formalized by  </w:t>
        <w:br/>
        <w:t xml:space="preserve">a share transfer agreement dated July 8, 2022;  </w:t>
        <w:br/>
        <w:t xml:space="preserve">Having regard to Book IV of the Commercial Code relating to the freedom of prices and competition, and  </w:t>
        <w:br/>
        <w:t xml:space="preserve">in particular its Articles L. 430-1 to L. 430-7;  </w:t>
        <w:br/>
        <w:t xml:space="preserve">Adopts the following decision:  </w:t>
        <w:br/>
        <w:t xml:space="preserve">1. The notified operation consists of the exclusive control of the company Flower Holding by  </w:t>
        <w:br/>
        <w:t xml:space="preserve">the company Holding Tourisme, a subsidiary of the Duval group. The company Flower Holding is active in  </w:t>
        <w:br/>
        <w:t xml:space="preserve">the sector of operating bare or equipped pitches with mobile homes in campsites and motorhome areas. It constitutes a concentration operation within the meaning of Article L. 430-1 of the Commercial Code. Given the turnover achieved by the companies concerned, the operation does not fall under the jurisdiction of the European Union. On the other hand,  </w:t>
        <w:br/>
        <w:t xml:space="preserve">the control thresholds mentioned in I of Article L. 430-2 of the Commercial Code are exceeded. This operation is therefore subject to the provisions of Articles L. 430-3 and following of the  </w:t>
        <w:br/>
        <w:t xml:space="preserve">Commercial Code relating to economic concentration.  </w:t>
        <w:br/>
        <w:t xml:space="preserve">2. In view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22-202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