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https://www.autoritedelaconcurrence.fr/fr/decision-de-controle-des-concentrations/relative-la-prise-de-controle-exclusif-de-la-societe-fm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12-DCC-170 of December 4, 2012  </w:t>
        <w:br/>
        <w:t xml:space="preserve">regarding the exclusive control acquisition of the company FM Motors by  </w:t>
        <w:br/>
        <w:t xml:space="preserve">PGA Motors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5, 2012, concerning the exclusive control acquisition by PGA Motors of the companies FM  </w:t>
        <w:br/>
        <w:t xml:space="preserve">Motors and FM Motors Villeneuve d’Ascq, formalized by a share transfer agreement dated April 12,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FM Motors, which  </w:t>
        <w:br/>
        <w:t xml:space="preserve">operates an Audi brand car dealership in the city of Villeneuve d’Ascq (59), by the company GGBA, a subsidiary of PGA Motors, which operates car dealerships in  </w:t>
        <w:br/>
        <w:t xml:space="preserve">France. It constitutes a concentration operation within the meaning of Article L. 430-1 of the Commercial Code. Given the turnover achieved by the companies concerned,  </w:t>
        <w:br/>
        <w:t xml:space="preserve">the operation does not have a community dimension. On the other hand, the control thresholds  </w:t>
        <w:br/>
        <w:t xml:space="preserve">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12-181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