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https://www.autoritedelaconcurrence.fr/fr/decision-de-controle-des-concentrations/relative-la-prise-de-controle-exclusif-de-la-societe-fonds</w:t>
      </w:r>
    </w:p>
    <w:p>
      <w:r>
        <w:t>Pages translated : 3</w:t>
      </w:r>
    </w:p>
    <w:p/>
    <w:p>
      <w:r>
        <w:rPr>
          <w:b/>
        </w:rPr>
        <w:t>[Pages 1–3]</w:t>
      </w:r>
    </w:p>
    <w:p>
      <w:r>
        <w:t xml:space="preserve">FRENCH REPUBLIC  </w:t>
        <w:br/>
        <w:t xml:space="preserve">Decision No. 10-DCC-168 of November 22, 2010  </w:t>
        <w:br/>
        <w:t xml:space="preserve">regarding the exclusive control of the company Fonds Partenaires Gestion by the company La Financière Patrimoniale d’Investissement  </w:t>
        <w:br/>
        <w:t xml:space="preserve">The Competition Authority,  </w:t>
        <w:br/>
        <w:t xml:space="preserve">Having regard to the notification file submitted in full to the merger control service on October 19, 2010, regarding the acquisition of the company Fonds Partenaires Gestion (hereinafter "FPG") by the company La Financière Patrimoniale d’Investissement (hereinafter "LFPI"), formalized by a transfer agreement dated July 30, 2009;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LFPI is the parent company of a group whose activity consists of taking stakes in new or existing companies, either directly or indirectly through risk mutual funds and venture capital companies, whose companies it controls manage (hereinafter "the LFPI group"). The share capital of LFPI is held [40-50]% by institutional investors and [50-60]% by private investors, none of whom exercise a decisive influence over LFPI1. LFPI holds [&gt;50]% and exclusively controls2 the company LFPI Gestion SAS (hereinafter "LFPI Gestion"), whose activity consists of managing risk mutual funds. As of September 30, 2009, the LFPI group held exclusive control over several companies active in different fields: professional photography in the world of childhood (through Primavista*), the distribution of spare parts for industrial and agricultural vehicles (through Ital Express), the design, manufacture, and distribution of medical equipment for healthcare professionals (through Holtex), nutritherapy and dietary supplements (through EA Pharma), the rental of tower cranes (through Matebat), and the trade of fishing articles (through Distripêche). Additionally, the LFPI group held joint control, with FPG, of several other companies active in other sectors: telemarketing and teleservices (through Finapertel), the manufacture and marketing of traditional Breton pancakes and crêpes (through Finaven (Traou Mad)), air and water hygiene (through Hyginvest), budget hotels (through Paninvest), and industrial explosives (through Explinvest).  </w:t>
        <w:br/>
        <w:t xml:space="preserve">2. FPG is a management company that held, as of September 30, 2009, through the risk mutual funds it manages, exclusive control of Or Brun, a company active in the sector of organic gardening products, in addition to the joint control it held with LFPI in the aforementioned companies. The share capital of FPG was held 99.96% by Lazard Frères Banque.  </w:t>
        <w:br/>
        <w:t xml:space="preserve">3. The notified operation consists of the acquisition by LFPI Gestion of 99.96% of the shares and voting rights of FPG. The notified operation thus results in the exclusive control of FPG by LFPI, and constitutes a concentration within the meaning of Article L. 430-1 of the Commercial Code.  </w:t>
        <w:br/>
        <w:t xml:space="preserve">4. The concerned companies together achieved a consolidated turnover excluding taxes worldwide of more than 150 million euros in 2008 (LFPI: […] million euros; FPG: […] million euros). Each of these companies achieved, in France, a turnover exceeding 50 million euros in 2008 (LFPI: […] million euros; FPG: […]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5. The notified operation was effectively carried out on September 30, 2009, in violation of the provisions of Article L. 430-4 of the Commercial Code.  </w:t>
        <w:br/>
        <w:t xml:space="preserve">II. Competitive analysis  </w:t>
        <w:br/>
        <w:t xml:space="preserve">6. Regarding the exclusive control of the companies Finapertel, Finaven, Hyginvest, Paninvest, and Explinvest, for which LFPI already held joint control, the notified operation is not likely to harm competition as none of the other companies currently controlled directly or indirectly by LFPI are active in the same sectors or in an upstream, downstream, or related sector to those in which the target companies are active.  </w:t>
        <w:br/>
        <w:t xml:space="preserve">7. Regarding the exclusive control of Or Brun by LFPI, for which LFPI did not hold control, the notified operation is not likely to harm competition as none of the companies currently controlled directly or indirectly by LFPI are active in the sector of organic gardening products or in an upstream, downstream, or related sector.  </w:t>
        <w:br/>
        <w:t xml:space="preserve">8. Therefore, the notified operation is not likely to harm competition.  </w:t>
        <w:br/>
        <w:t xml:space="preserve">DECIDES  </w:t>
        <w:br/>
        <w:t xml:space="preserve">Sole Article: The operation notified under number 10-0125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