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https://www.autoritedelaconcurrence.fr/fr/decision-de-controle-des-concentrations/relative-la-prise-de-controle-exclusif-de-la-societe-fonty</w:t>
      </w:r>
    </w:p>
    <w:p>
      <w:r>
        <w:t>Pages translated : 5</w:t>
      </w:r>
    </w:p>
    <w:p/>
    <w:p>
      <w:r>
        <w:rPr>
          <w:b/>
        </w:rPr>
        <w:t>[Pages 1–3]</w:t>
      </w:r>
    </w:p>
    <w:p>
      <w:r>
        <w:t>FRENCH REPUBLIC</w:t>
        <w:br/>
        <w:t>Decision No. 10-DCC-143 of October 28, 2010</w:t>
        <w:br/>
        <w:t>regarding the exclusive control of the company Fonty</w:t>
        <w:br/>
        <w:t>by the ITM Entreprises group</w:t>
        <w:br/>
        <w:t>The Competition Authority,</w:t>
        <w:br/>
        <w:t>Having regard to the notification file submitted in full to the concentrations service on September 29, 2010, concerning the acquisition of all the shares of the company Fonty by the ITM Entreprises group, formalized by a transfer protocol dated August 3, 2010;</w:t>
        <w:br/>
        <w:t>Having regard to Book IV of the Commercial Code relating to the freedom of prices and competition, and in particular its Articles L. 430-1 to L. 430-7;</w:t>
        <w:br/>
        <w:t>Adopts the following decision:</w:t>
        <w:br/>
        <w:t>I. The companies concerned and the operation</w:t>
        <w:br/>
        <w:t>1. The company ITM Entreprises, 100% controlled by the Société civile des Mousquetaires, itself held by 1,330 individuals known as "associated members," leads and animates the network of independent merchants known as the "Groupement des Mousquetaires." As a franchisor, ITM Entreprises' main activity is the management of a network of retail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w:t>
        <w:br/>
        <w:t>2. The company ITM Alimentaire Nord is a French company held at [&gt;50]% by the company ITM Alimentaire France, which is itself held by the company ITM Entreprises. ITM Entreprises has entrusted ITM Alimentaire Nord with the management and development of the franchise network operating under the brands Intermarché, Ecomarché, and Netto in the eastern region of France.</w:t>
      </w:r>
    </w:p>
    <w:p>
      <w:r>
        <w:t>3. The company Fonty is a simplified joint-stock company under French law that operates a predominantly food retail outlet under the Intermarché brand in Belleu (02). The shares of the company Fonty are held at [&gt;50]% by the holding company Ceauxmon, with ITM Entreprises holding a preferred share, and 6 other individuals each holding one share. The company Ceauxmon is majority-owned by Mr. and Mrs. X, signatories of the charter of adhesion of the Mousquetaires group.</w:t>
        <w:br/>
        <w:t>4. The notified transaction, formalized by a transfer protocol dated August 3, 2010, involves the acquisition by ITM Alimentaire Nord of the shares of the company Fonty held by the company Ceauxmon.</w:t>
        <w:br/>
        <w:t>5. The statutes of Fonty, updated on June 30, 2008, grant ITM Entreprises, for 15 years, the ability to block any change of brand, to oppose any transfer of shares, and to require the majority shareholders to sell the business as soon as they operate a similar business under a competing brand. Furthermore, the brand contract grants ITM Entreprises, also for 15 years, a right of first refusal in the event of the sale of the business at a price calculated according to a predetermined formula. Finally, after 15 years, if ITM Entreprises no longer has the ability to block any change of brand or to oppose any transfer of shares, ITM Entreprises retains a right of first refusal on any sale of shares for an additional 5 years.</w:t>
        <w:br/>
        <w:t>6. It follows from the above that prior to the operation, ITM Entreprises already jointly exercises control of the company Fonty with Mr. and Mrs. X.</w:t>
        <w:br/>
        <w:t>7. Insofar as it results in the transition from joint control to exclusive control of the company Fonty by the ITM Entreprises group, via its subsidiary ITM Alimentaire Nord, the notified operation is indeed a concentration within the meaning of Article L. 430-1 of the Commercial Code.</w:t>
        <w:br/>
        <w:t>8. The companies concerned operate one or more retail stores and together achieve a total worldwide turnover of more than 75 million euros (ITM Entreprises group: […] billion euros for the fiscal year ending December 31, 2009; the company Fonty: […] million euros for the same year). Each achieves in France in the retail sector a turnover exceeding 15 million euros (ITM Entreprises group: […] billion euros for the fiscal year ending December 31, 2009; the company Fonty: […] million euros for the same year). Given these turnover figures, the operation does not have a community dimension.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br/>
        <w:t>II. Definition of relevant markets</w:t>
        <w:br/>
        <w:t>9. According to the consistent practice of national and community competition authorities, two categories of markets can be defined in the food retail sector. These are, on the one hand, "downstream" markets of a local dimension, which bring together retail companies and consumers for the sale of consumer goods, and, on the other hand, "upstream" markets for the supply of retail companies with everyday consumer goods, of a national dimension.</w:t>
      </w:r>
    </w:p>
    <w:p>
      <w:r>
        <w:t>A. DOWNSTREAM DISTRIBUTION MARKETS</w:t>
        <w:br/>
        <w:t>1. SERVICE MARKETS</w:t>
        <w:br/>
        <w:t>10. Regarding the retail sale of everyday consumer goods, competition authorities, both community and national,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w:t>
        <w:br/>
        <w:t>11. Supermarkets are usually defined as food-dominant stores with a legal sales area of less than 2,500 m².</w:t>
        <w:br/>
        <w:t>12. In this case, the store involved in the operation currently occupies a sales area of 2,191 m², thus falling into the category of supermarkets.</w:t>
        <w:br/>
        <w:t>2. GEOGRAPHICAL DELIMITATION</w:t>
        <w:br/>
        <w:t>13. In its recent decisions regarding operations involving hypermarkets or supermarkets, the Competition Authority has recalled that depending on the size of the stores concerned, the conditions of competition should be assessed in two different areas:</w:t>
        <w:br/>
        <w:t>- a first market where the demand from consumers in an area meets the supply of hypermarkets that they can access within less than 30 minutes of travel by car and which are, from their point of view, substitutable for each other;</w:t>
        <w:br/>
        <w:t>- a second market where the demand from consumers meets the supply of supermarkets and equivalent forms of commerce located within less than 15 minutes of travel time by car. These latter forms of commerce may include, in addition to supermarkets, hypermarkets located near consumers and discount stores.</w:t>
        <w:br/>
        <w:t>14. Other criteria may nevertheless be taken into account to assess the impact of a concentration on the competitive situation in retail distribution markets, which may lead to refining, in the specific case, the usual delimitations presented above.</w:t>
        <w:br/>
        <w:t>15. In this case, the store involved falls into the category of supermarkets, and the competitive analysis will be conducted solely on the market including supermarkets located within a 15-minute radius around Belleu as well as equivalent forms of commerce located within this same radius (discount stores).</w:t>
        <w:br/>
        <w:t>B. UPSTREAM SUPPLY MARKETS</w:t>
        <w:br/>
        <w:t>16. Regarding supply markets, the European Commission has recognized the existence of national markets by major product groups, a delimitation followed by national authorities.</w:t>
        <w:br/>
        <w:t>17. There is no need to challenge this delimitation in the context of the present operation.</w:t>
      </w:r>
    </w:p>
    <w:p>
      <w:r>
        <w:rPr>
          <w:b/>
        </w:rPr>
        <w:t>[Pages 4–5]</w:t>
      </w:r>
    </w:p>
    <w:p>
      <w:r>
        <w:t xml:space="preserve">III. Competitive Analysis  </w:t>
        <w:br/>
        <w:t xml:space="preserve">A. DOWNSTREAM MARKET OF DISTRIBUTION  </w:t>
        <w:br/>
        <w:t xml:space="preserve">18. In the market comprising hypermarkets, supermarkets, and discount stores located within a 15-minute drive zone around Belleu, the Intermarché operated by the target represents 7.7% of the sales area. Considering the existence of another supermarket operated under the Intermarché brand in this area, this brand currently represents 16.2% of the sales area. Furthermore, this second outlet has obtained an expansion authorization which will increase the group's market share to 21.2%.  </w:t>
        <w:br/>
        <w:t xml:space="preserve">19. Also present in this area are a hypermarket under the Cora brand (38.9% of the sales area), four supermarkets from the Carrefour group (20% of the sales area), as well as the groups Casino, Lidl, and Aldi.  </w:t>
        <w:br/>
        <w:t xml:space="preserve">20. Consequently, the operation is not likely to harm competition in the markets concerned.  </w:t>
        <w:br/>
        <w:t xml:space="preserve">B. UPSTREAM SUPPLY MARKET  </w:t>
        <w:br/>
        <w:t xml:space="preserve">21. Regarding the upstream supply markets, the operation, which only concerns a single store, is not likely to significantly strengthen the purchasing power of the ITM Entreprises group, across all products as well as by major product groups.  </w:t>
        <w:br/>
        <w:t>22. Consequently, the operation is not likely to harm competition both in the downstream market and in the upstream market of distribution.</w:t>
      </w:r>
    </w:p>
    <w:p>
      <w:r>
        <w:t xml:space="preserve">DECIDES  </w:t>
        <w:br/>
        <w:t xml:space="preserve">Sole Article: The notified operation under number 10-0163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