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https://www.autoritedelaconcurrence.fr/fr/decision-de-controle-des-concentrations/relative-la-prise-de-controle-exclusif-de-la-societe-galian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24-DCC-144 of July 11, 2024</w:t>
        <w:br/>
        <w:t>regarding the acquisition of exclusive control of the company Galian Assurances</w:t>
        <w:br/>
        <w:t>by the company SMABTP</w:t>
        <w:br/>
        <w:t>The Competition Authority,</w:t>
        <w:br/>
        <w:t>Having regard to the complete notification file submitted to the mergers department on June 19, 2024,</w:t>
        <w:br/>
        <w:t>concerning the acquisition of exclusive control of the company Galian Assurances by the company SMABTP and</w:t>
        <w:br/>
        <w:t>its subsidiary SMA, formalized by a memorandum of understanding signed on June 12,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 of exclusive control by the company SMABTP and its subsidiary</w:t>
        <w:br/>
        <w:t>SMA, of the company Galian Assurances, active in the sectors of production and distribution of insurance products, and a specialist in the real estate sector. It constitutes</w:t>
        <w:br/>
        <w:t>a concentration operation within the meaning of Article L. 430-1 of the Commercial Code. Given</w:t>
        <w:br/>
        <w:t>the turnover achieved by the concerned companies, the operation does not fall under the</w:t>
        <w:br/>
        <w:t>jurisdiction of the European Union. On the other hand, the control thresholds mentioned in 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  <w:br/>
        <w:t>3. Furthermore, Article 9 of the draft shareholders' agreement between the parent companies of Galian</w:t>
        <w:br/>
        <w:t>Assurances (SMABTP and Galian) provides that neither of them may acquire</w:t>
        <w:br/>
        <w:t>portfolios or develop their own offers that could compete in the market</w:t>
        <w:br/>
        <w:t>of real estate professionals with the offers of Galian Assurances. This article also</w:t>
        <w:br/>
        <w:t>provides that each of the parent companies may not hold, directly or indirectly, any</w:t>
        <w:br/>
        <w:t>equity interest in, nor finance in any way, an entity engaged in</w:t>
        <w:br/>
        <w:t>activities competing with those of the target in the market of real estate professionals.</w:t>
        <w:br/>
        <w:t>This prohibition will be limited, under this article, to interests that confer</w:t>
        <w:br/>
        <w:t>directly or indirectly to the concerned party management functions or substantial influence</w:t>
        <w:br/>
        <w:t>in the competing company. All of these stipulations are limited to</w:t>
        <w:br/>
        <w:t>French territory, for a duration of two years.</w:t>
        <w:br/>
        <w:t>4. Considering the elements provided by the notifying party in the notification file, the</w:t>
        <w:br/>
        <w:t>non-compete clause constitutes a restriction directly related and necessary to the operation,</w:t>
        <w:br/>
        <w:t>in accordance with the guidelines of the Competition Authority1.</w:t>
        <w:br/>
        <w:t>DECIDES</w:t>
        <w:br/>
        <w:t>Sole Article: The operation notified under number 24-111 is authorized.</w:t>
        <w:br/>
        <w:t>The President,</w:t>
        <w:br/>
        <w:t>Benoît Cœuré</w:t>
        <w:br/>
        <w:t>© Competition Authority</w:t>
        <w:br/>
        <w:t>1 Guidelines of the Competition Authority relating to the control of concentrations.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