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https://www.autoritedelaconcurrence.fr/fr/decision-de-controle-des-concentrations/relative-la-prise-de-controle-exclusif-de-la-societe-gap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23-DCC-17 of January 25, 2023  </w:t>
        <w:br/>
        <w:t xml:space="preserve">regarding the exclusive control acquisition of the company GAP by  </w:t>
        <w:br/>
        <w:t xml:space="preserve">the company Jean Lain Automobiles  </w:t>
        <w:br/>
        <w:t xml:space="preserve">The Competition Authority,  </w:t>
        <w:br/>
        <w:t xml:space="preserve">Having regard to the complete notification file sent to the mergers department on January 6, 2023  </w:t>
        <w:br/>
        <w:t xml:space="preserve">concerning the exclusive control acquisition of the company GAP by the company Jean Lain Automobiles,  </w:t>
        <w:br/>
        <w:t xml:space="preserve">a subsidiary of the Jean Lain group, formalized by a letter of intent dated December 14,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GAP, active in the  </w:t>
        <w:br/>
        <w:t xml:space="preserve">automobile distribution sector in the department of Hautes-Alpes (05) and that of  </w:t>
        <w:br/>
        <w:t xml:space="preserve">Alpes-de-Haute-Provence (04), by the company Jean Lain Automobiles.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trade control thresholds mentioned in II of Article L. 430-2 of the Commercial Code are exceeded. This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22-321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