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https://www.autoritedelaconcurrence.fr/fr/decision-de-controle-des-concentrations/relative-la-prise-de-controle-exclusif-de-la-societe-garage</w:t>
      </w:r>
    </w:p>
    <w:p>
      <w:r>
        <w:t>Pages translated : 2</w:t>
      </w:r>
    </w:p>
    <w:p/>
    <w:p>
      <w:r>
        <w:rPr>
          <w:b/>
        </w:rPr>
        <w:t>[Pages 1–2]</w:t>
      </w:r>
    </w:p>
    <w:p>
      <w:r>
        <w:t xml:space="preserve">FRENCH REPUBLIC  </w:t>
        <w:br/>
        <w:t xml:space="preserve">Decision No. 12-DCC-35 of March 14, 2012  </w:t>
        <w:br/>
        <w:t xml:space="preserve">regarding the exclusive control acquisition of the company Garage de Savoie  </w:t>
        <w:br/>
        <w:t xml:space="preserve">by the company By My Car Group  </w:t>
        <w:br/>
        <w:t xml:space="preserve">The Competition Authority,  </w:t>
        <w:br/>
        <w:t xml:space="preserve">Having regard to the complete notification file submitted to the mergers department on February 21, 2012,  </w:t>
        <w:br/>
        <w:t xml:space="preserve">concerning the exclusive control acquisition of the company Garage de Savoie by the company By My Car Group;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the company Garage de Savoie,  </w:t>
        <w:br/>
        <w:t xml:space="preserve">operating two Peugeot brand car dealerships in the cities of Cluses and Sallanches (74), by the company By My Car Group, itself active in the distribution of motor vehicles in several departments, notably in Haute-Savoie (74), and  </w:t>
        <w:br/>
        <w:t xml:space="preserve">constitutes a concentration operation within the meaning of Article L. 430-1 of the Commercial Code.  </w:t>
        <w:br/>
        <w:t xml:space="preserve">Considering the turnover achieved by the concerned companies, the operation does not have a community dimension. On the other hand,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12-033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