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https://www.autoritedelaconcurrence.fr/fr/decision-de-controle-des-concentrations/relative-la-prise-de-controle-exclusif-de-la-societe-gaz</w:t>
      </w:r>
    </w:p>
    <w:p>
      <w:r>
        <w:t>Pages translated : 8</w:t>
      </w:r>
    </w:p>
    <w:p/>
    <w:p>
      <w:r>
        <w:rPr>
          <w:b/>
        </w:rPr>
        <w:t>[Pages 1–3]</w:t>
      </w:r>
    </w:p>
    <w:p>
      <w:r>
        <w:t xml:space="preserve">FRENCH REPUBLIC  </w:t>
        <w:br/>
        <w:t xml:space="preserve">Decision No. 17-DCC-01 of January 5, 2017  </w:t>
        <w:br/>
        <w:t xml:space="preserve">regarding the exclusive control of Gaz Européen Holding by the DCC group  </w:t>
        <w:br/>
        <w:t xml:space="preserve">The Competition Authority,  </w:t>
        <w:br/>
        <w:t xml:space="preserve">Having regard to the notification file submitted in full to the merger service on December 9, 2016, regarding the exclusive control of Gaz Européen Holding by the DCC group, formalized by two acquisition and share transfer agreements dated November 10, 2016;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DCC plc is the company at the head of the DCC group (hereinafter, "DCC"), active through four divisions: DCC Technology which markets technological products, DCC Healthcare which manufactures and markets medicines and medical, surgical, cosmetic, and laboratory products, DCC Environmental, active in the ordinary and hazardous waste sector, and DCC Energy. DCC Energy markets and distributes petroleum products, including liquefied petroleum gas ("LPG"), the sale of natural gas in the United Kingdom and Ireland, as well as the sale of fuel cards. In France, DCC is thus present in the automotive fuel distribution sectors since the acquisition in 2015 of the retail activity of the Esso group and of LPG since the acquisition in 2015 of Butagaz.  </w:t>
        <w:br/>
        <w:t xml:space="preserve">2. Gaz Européen Holding (hereinafter, "Gaz Européen") is a group active in the supply of natural gas in France, through an operational company, Gaz de Paris, which itself includes six regional agencies. Gaz Européen supplies natural gas to co-ownerships, professional tertiary customers, and public customers.  </w:t>
        <w:br/>
        <w:t xml:space="preserve">3. Under two acquisition and share transfer agreements concluded on November 10, 2016, DCC commits to acquiring a majority stake in the capital of Gaz Européen, corresponding to 100% of the capital and voting rights of the latter, reduced by the amount to be reinvested by the minority shareholders, Messrs. [X] [Y], upon completion of the transaction. This amount will range from [0-5] million euros, with the resulting number of shares being linked to the acquisition price of the Gaz Européen shares, which will be determined at the date of completion of the transaction. However, the notifying party has estimated that, given the amount in question, the minority shareholders would hold a stake of approximately [0-5]% upon completion of the transaction.  </w:t>
        <w:br/>
        <w:t xml:space="preserve">4. [confidential].  </w:t>
        <w:br/>
        <w:t xml:space="preserve">5. As it results in the exclusive control of Gaz Européen by DCC, the notified transaction constitutes a concentration within the meaning of Article L. 430-1 of the Commercial Code.  </w:t>
        <w:br/>
        <w:t xml:space="preserve">6. The concerned companies together achieve a total worldwide turnover excluding taxes of more than 150 million euros (DCC: 12.3 billion euros for the fiscal year ending March 31, 2016; Gaz Européen: [&gt;50 million euros] for the fiscal year ending December 31, 2015). Each of these companies has achieved a turnover in France exceeding 50 million euros (DCC: [&gt;50 million euros] for the fiscal year ending March 31, 2016; Gaz Européen: [&gt;50 million euros] for the fiscal year ending December 31, 2015).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  </w:t>
        <w:br/>
        <w:t xml:space="preserve">II. Delimitation of the relevant markets  </w:t>
        <w:br/>
        <w:t xml:space="preserve">7. DCC is active in France in the LPG and automotive fuel distribution sectors, while Gaz Européen is a player in the natural gas sector. Their respective activities do not overlap in the same product markets in France. However, the transaction is likely to strengthen the purchasing power of the new entity as they may seek common suppliers for the manufacture of their respective products.  </w:t>
        <w:br/>
        <w:t xml:space="preserve">A. THE SUPPLY OF NATURAL GAS  </w:t>
        <w:br/>
        <w:t xml:space="preserve">8. National and European competition authorities traditionally distinguish, from upstream to downstream, the following product markets: (i) exploration-export, (ii) transportation, (iii) storage, (iv) trading, and (v) supply of natural gas. Only the markets for the supply of natural gas are concerned by the transaction.  </w:t>
        <w:br/>
        <w:t xml:space="preserve">1 See in particular decisions No. COMP/M.6068 of the European Commission ENI/Acegasaps/JV of April 11, 2011 and No. COMP/M.5978 GDF Suez/International Power of January 26, 2011; see also decisions No. 11-DCC-34 of the Competition Authority of February 25, 2011 regarding the acquisition of exclusive control of Ne Varietur by GDF Suez and No. 12-DCC-20 of February 7, 2012 regarding the exclusive control of Enerest by Electricité de Strasbourg.  </w:t>
        <w:br/>
        <w:t>2</w:t>
      </w:r>
    </w:p>
    <w:p>
      <w:r>
        <w:t xml:space="preserve">1. RETAIL SUPPLY OF GAS  </w:t>
        <w:br/>
        <w:t xml:space="preserve">9. Within the gas supply activities, decision-making practice has initially distinguished the supply of gas to (i) large industrial customers, (ii) small industrial and commercial customers, (iii) electricity producers, (iv) intermediate resellers (local distribution companies), and (v) residential customers. The distinctions between these categories of customers are based on the differences in their use of gas, those related to their consumption profiles and volumes, or their connection to the transport or distribution network, as well as their purchase price.  </w:t>
        <w:br/>
        <w:t xml:space="preserve">10. Competition authorities have also established a distinction between the supply of low calorific value gas (known as "gas B" or "gas L") and the supply of high calorific value gas (known as "gas H"). This distinction is justified by different characteristics, properties, and uses, with both types of gas requiring specific installations.  </w:t>
        <w:br/>
        <w:t xml:space="preserve">11. Finally, competition authorities have considered defining narrower markets for the supply of gas to customers who have subscribed to a supply on the free market. Thus, the European Commission noted that customers who have subscribed to a market offer, by switching from the regulated tariff to the free tariff, could only return to the regulated tariff under certain conditions. As a result, there would be an asymmetry of competitive constraint between the supply of gas at regulated tariff and the supply of gas at free tariff, with substitutability between the two segments only playing in one direction.  </w:t>
        <w:br/>
        <w:t xml:space="preserve">12. In this case, the notifying party believes that this distinction is no longer relevant, noting that residential and professional customers with an annual consumption of less than 30 MWh are, under the applicable legal conditions, free to switch from regulated tariff offers to market offers and vice versa, and that professional customers with a reference annual consumption above this threshold no longer benefit from regulated sales tariff offers since January 1, 2016.  </w:t>
        <w:br/>
        <w:t xml:space="preserve">13. The notifying party also notes that an additional market could be considered, corresponding to the supply of liquefied natural gas, produced for the needs of transporting natural gas by refrigerated LNG carriers and used by customers located in areas not covered by the natural gas network. It indicates that this is an emerging activity that should be considered distinct from other natural gas markets, as well as from LPG.  </w:t>
        <w:br/>
        <w:t xml:space="preserve">14. In this case, Gaz Européen supplies both natural gas to professional customers with an annual consumption of less than 30 MWh and to professional and industrial customers connected to the distribution network with an annual consumption exceeding 30 MWh. Furthermore, neither Gaz Européen nor Butagaz currently has a commercial offer for liquefied natural gas.  </w:t>
        <w:br/>
        <w:t xml:space="preserve">15. The question of the exact delimitation of the gas supply markets can be left open in that, regardless of the hypothesis retained, the conclusions of the competitive analysis remain unchanged.  </w:t>
        <w:br/>
        <w:t xml:space="preserve">2 See in particular decision No. COMP/M. 5220 of the European Commission ENI/Distrigaz of October 15, 2008 and decision No. 12-DCC-20 cited above.  </w:t>
        <w:br/>
        <w:t xml:space="preserve">3 See in particular decision No. COMP/M.4180 of the European Commission Gaz de France/Suez of November 14, 2006 and decision No. 12-DCC-20 cited above.  </w:t>
        <w:br/>
        <w:t xml:space="preserve">4 See in particular decisions No. COMP/M.5549 of the European Commission EDF/Segebel of November 12, 2009, and decisions No. COMP/M. 5520 and No. COMP/M. 4180 cited above. See also decision No. 11-DCC-34 of the Competition Authority of February 25, 2011 regarding the acquisition of exclusive control of Ne Varietur by GDF Suez and decision No. 12-DCC-20 cited above.  </w:t>
        <w:br/>
        <w:t>3</w:t>
      </w:r>
    </w:p>
    <w:p>
      <w:r>
        <w:rPr>
          <w:b/>
        </w:rPr>
        <w:t>[Pages 4–6]</w:t>
      </w:r>
    </w:p>
    <w:p>
      <w:r>
        <w:t>2. GEOGRAPHIC DIMENSION OF THE GAS SUPPLY MARKET</w:t>
        <w:br/>
        <w:t>16. Regarding the geographic delimitation of gas supply markets, decision-making practice holds that these markets are of subnational dimension. It has thus identified several markets corresponding to balancing zones, for which competitive conditions differ significantly. There have been only two balancing zones, North and South, since April 1, 2015.</w:t>
        <w:br/>
        <w:t>17. In this case, Gaz Européen is present throughout the entire French territory.</w:t>
        <w:br/>
        <w:t>18. There is no need to challenge the previous market delimitations on the occasion of the present operation.</w:t>
      </w:r>
    </w:p>
    <w:p>
      <w:r>
        <w:t>B. THE LPG MARKETS</w:t>
        <w:br/>
        <w:t>1. PRODUCT MARKETS</w:t>
        <w:br/>
        <w:t>19. LPG is derived from the refining of oil or the separation of crude oil or natural gas at production fields. One can distinguish between LPG used as fuel for energy supply and LPG used as automotive fuel.</w:t>
        <w:br/>
        <w:t>20. LPG comprises two products, butane and propane. Despite certain technical differences (different pressures and boiling temperatures), the European Commission has indicated that these two products are substitutable for most of their uses, which the Authority has confirmed, while taking into account the type of gas concerned in the analysis of competitors' reaction capacity. It is therefore generally not necessary to segment the LPG market based on the nature of the product. Decision-making practice has also considered that LPG forms a distinct market from other energy sources, with the possible exception of natural gas, for which prior connection to the customer's facilities is a condition for its substitutability. In this regard, the European Commission has noted that in the presence of a natural gas network not covering the entire French territory, there would always be a distinct demand for LPG in France and has conducted its analysis on a market for LPG distinct from other energy sources, including natural gas.</w:t>
        <w:br/>
        <w:t>21. In this regard, the notifying party also argues that LPG is not a substitute product for natural gas, on the grounds that the presence of the natural gas transport or distribution network is a prerequisite for the supply of natural gas, whereas LPG can be delivered to customers located throughout the national territory; when the natural gas network is present and connection is possible, LPG is no longer an option for customers from an economic perspective due to the advantages of natural gas and the very different packaging and sales methods of the two products.</w:t>
        <w:br/>
        <w:t>22. Furthermore, the European Commission has also distinguished an upstream market for LPG bottle filling and a downstream market for the sale of bottled LPG. In a recent decision, the Authority took into account the LPG filling capacities of competitors in the context of the competitive analysis of the packaged LPG sales markets.</w:t>
        <w:br/>
        <w:t>23. The European Commission and the Authority have considered that there may be three distinct markets for the sale of LPG based on packaging and distribution modes:</w:t>
        <w:br/>
        <w:t>- Packaged LPG: packaged LPG is sold in bottles with dimensions ranging from 5.5 to 35 kilograms. This type of LPG is primarily used for domestic purposes, such as water heating, cooking, and DIY, but also for professional purposes such as food services or public works. Packaged LPG is sold at service stations, large retail outlets, or through the traditional network (hardware stores, grocery stores, tobacco shops). The Authority has also considered, within the packaged LPG market, a segmentation based on use (domestic or professional) and product positioning (private label or brand name);</w:t>
        <w:br/>
        <w:t>- Bulk LPG primarily for domestic use: LPG sold in "small bulk" is delivered in small tanks of 0.5 to 1.7 tons, made available to customers whose annual consumption does not exceed 12 tons. The tanks, above ground or underground, are placed at the homes of individual consumers. This LPG is primarily used for heating, cooking, and hot water and is mainly distributed by the operators themselves;</w:t>
        <w:br/>
        <w:t>- Bulk LPG for professional use (the "medium and large bulk" segment): bulk LPG is transported by truck to the users' tanks. LPG is sold in medium and large tanks of 1.75 to 50 tons placed at industrial sites. The annual consumption of "professional bulk" LPG exceeds 12 tons per customer, and "professional bulk" LPG is used for purposes such as heating large premises, the hotel sector, catering, agri-food, etc. It is also distributed by the operators themselves.</w:t>
        <w:br/>
        <w:t>24. In this case, there is no need to challenge the previous delimitations retained by decision-making practice.</w:t>
      </w:r>
    </w:p>
    <w:p>
      <w:r>
        <w:t>2. GEOGRAPHIC MARKETS</w:t>
        <w:br/>
        <w:t>25. Regarding the geographic dimension of the LPG markets, decision-making practice holds that these are national markets, although the Authority has not excluded that the market for large and medium bulk may have a subnational dimension and that the market for small bulk may have a local dimension.</w:t>
        <w:br/>
        <w:t>26. It is not necessary to rule on the exact delimitation of geographic markets in this case, as the conclusions of the competitive analysis remain unchanged.</w:t>
      </w:r>
    </w:p>
    <w:p>
      <w:r>
        <w:t>C. AUTOMOTIVE FUELS</w:t>
        <w:br/>
        <w:t>1. PRODUCT MARKETS</w:t>
        <w:br/>
        <w:t>27. In terms of the marketing of refined products and their distribution to end users, competition authorities distinguish between "retail" sales through service station networks and "wholesale" sales, also known as "off-network."</w:t>
        <w:br/>
        <w:t>28. Regarding wholesale markets, both national and European competition authorities have recognized the existence of a market for off-network fuel sales across all types of customers. The off-network fuel sales market is the market from which retailers that are not integrated upstream (such as large retailers) and end users (transport companies, local authorities, industries, individuals) source their supplies. Furthermore, competition authorities have considered that the off-network sale of each refined product (gasoline, diesel, fuel, LPG-c) constitutes a distinct product market.</w:t>
        <w:br/>
        <w:t>29. Regarding retail markets, competition authorities have considered that there exists a market for the retail sale of fuels through service station networks, encompassing all types of fuels. In contrast, distribution on highways is distinguished from distribution off-highway, as demand is more captive on highways.</w:t>
      </w:r>
    </w:p>
    <w:p>
      <w:r>
        <w:rPr>
          <w:b/>
        </w:rPr>
        <w:t>[Pages 7–8]</w:t>
      </w:r>
    </w:p>
    <w:p>
      <w:r>
        <w:t>2. GEOGRAPHIC MARKETS</w:t>
        <w:br/>
        <w:t>30. The wholesale market for the sale of fuels off the network is considered to be of regional dimension due to the infrastructure constraints of the logistics chain (location of refineries, depots, pipeline).</w:t>
        <w:br/>
        <w:t>31. Decision-making practice has considered that the retail markets for fuels on the network are of local dimension, while leaving the exact delimitation open.</w:t>
        <w:br/>
        <w:t>32. There is no need to challenge these delimitations on the occasion of the present operation.</w:t>
      </w:r>
    </w:p>
    <w:p>
      <w:r>
        <w:t>III. Competitive Analysis</w:t>
        <w:br/>
        <w:t>33. The parties to the operation are present in distinct markets in that DCC is present in the LPG and automotive fuels markets, while Gaz Européen is only active in the natural gas markets in France. The operation therefore does not result in any horizontal effects.</w:t>
        <w:br/>
        <w:t>34. Article L. 430-6 of the Commercial Code nevertheless provides for the possibility that an operation may harm competition by strengthening a purchasing power that places suppliers in a situation of economic dependence.</w:t>
        <w:br/>
        <w:t>35. Competition authorities consider that "the strengthening of purchasing power generally tends to benefit consumers, provided that it does not affect the structures of upstream and downstream markets." Thus, it is only to the extent that it would harm competition, for example by reducing the financial or research and innovation capacities of certain players, that the strengthening of economic dependence can harm competition in a market.</w:t>
        <w:br/>
        <w:t>36. According to the European Commission, a strengthening of purchasing power is not considered harmful to the economy when there is (i) a strong concentration of suppliers who hold significant bargaining power, and (ii) effective competition in the retail market forcing the concerned companies to pass on the price reductions obtained to consumers. For its part, the Authority has already ruled on the cumulative criteria that may lead to establishing a risk of economic dependence of a supplier on a distributor.</w:t>
        <w:br/>
        <w:t>37. In this case, any risk of economic dependence can nevertheless be ruled out. Indeed, with the exception of the group [...], which supplies both LPG to Butagaz for a very small volume and natural gas to Gaz Européen, for negligible quantities, the parties to the operation have no common supplier.</w:t>
        <w:br/>
        <w:t>38. Furthermore, it emerges from the investigation that the share held by the parties in the revenues of their respective suppliers is relatively moderate, these latter being global players while the market shares of the parties in the various markets in which they are respectively present will remain moderate and, in any event, below [20-30]%.</w:t>
        <w:br/>
        <w:t>39. Finally, the notifying party argues that the infrastructures necessary for the supply of LPG and natural gas (import, transport) are different for the two types of product, thus limiting upstream synergies and the likelihood of joint purchases.</w:t>
        <w:br/>
        <w:t>40. Therefore, the operation is not likely to harm competition through the creation or strengthening of purchasing power in that the suppliers, given their global dimension and the market shares of the new entity as well as the absence of common suppliers prior to the operation, will not be dependent on it.</w:t>
      </w:r>
    </w:p>
    <w:p>
      <w:r>
        <w:t>DECIDES</w:t>
        <w:br/>
        <w:t>Sole Article: The operation notified under number 16-258 is authorized.</w:t>
        <w:b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