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https://www.autoritedelaconcurrence.fr/fr/decision-de-controle-des-concentrations/relative-la-prise-de-controle-exclusif-de-la-societe-gbs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17-DCC-187 of November 16, 2017  </w:t>
        <w:br/>
        <w:t xml:space="preserve">regarding the exclusive control acquisition of the company GBS by the company  </w:t>
        <w:br/>
        <w:t xml:space="preserve">Financière de l’Aube  </w:t>
        <w:br/>
        <w:t xml:space="preserve">The Competition Authority,  </w:t>
        <w:br/>
        <w:t xml:space="preserve">Having regard to the complete notification file submitted to the mergers department on October 26, 2017,  </w:t>
        <w:br/>
        <w:t xml:space="preserve">concerning the exclusive control acquisition of the company GBS by the company Financière de l’Aube,  </w:t>
        <w:br/>
        <w:t xml:space="preserve">formalized by a unilateral purchase promise dated October 2,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Financière de l’Aube, controlled by  </w:t>
        <w:br/>
        <w:t xml:space="preserve">Ardian, of exclusive control of the company GBS.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The markets concerned by the operation are the markets for construction and real estate development,  </w:t>
        <w:br/>
        <w:t xml:space="preserve">which are consistently defined by the decision-making practice of the Competition Authority.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17-221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