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https://www.autoritedelaconcurrence.fr/fr/decision-de-controle-des-concentrations/relative-la-prise-de-controle-exclusif-de-la-societe-gdi</w:t>
      </w:r>
    </w:p>
    <w:p>
      <w:r>
        <w:t>Pages translated : 2</w:t>
      </w:r>
    </w:p>
    <w:p/>
    <w:p>
      <w:r>
        <w:rPr>
          <w:b/>
        </w:rPr>
        <w:t>[Pages 1–2]</w:t>
      </w:r>
    </w:p>
    <w:p>
      <w:r>
        <w:t xml:space="preserve">FRENCH REPUBLIC  </w:t>
        <w:br/>
        <w:t xml:space="preserve">Decision No. 21-DCC-63 of April 9, 2021  </w:t>
        <w:br/>
        <w:t xml:space="preserve">regarding the exclusive control acquisition of GDI Groupe by  </w:t>
        <w:br/>
        <w:t xml:space="preserve">MML Capital  </w:t>
        <w:br/>
        <w:t>The Competition Authority,</w:t>
      </w:r>
    </w:p>
    <w:p>
      <w:r>
        <w:t>Having regard to the complete notification file submitted to the mergers department on March 12, 2021, concerning the exclusive control acquisition of GDI Groupe by MML Capital, formalized by a share transfer agreement dated March 8, 2021;</w:t>
      </w:r>
    </w:p>
    <w:p>
      <w:r>
        <w:t>Having regard to Book IV of the Commercial Code relating to the freedom of prices and competition, and in particular its Articles L. 430-1 to L. 430-7;</w:t>
      </w:r>
    </w:p>
    <w:p>
      <w:r>
        <w:t>Having regard to the additional elements provided by the notifying parties during the investigation;</w:t>
      </w:r>
    </w:p>
    <w:p>
      <w:r>
        <w:t xml:space="preserve">Adopts the following decision:  </w:t>
        <w:br/>
        <w:t xml:space="preserve">1. The notified operation consists of the exclusive control acquisition by the management company MML Partnership Capital VII GP of GDI Groupe, which is active in the field of installation and maintenance of passive fire protection systems and in the insulation products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21-050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