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https://www.autoritedelaconcurrence.fr/fr/decision-de-controle-des-concentrations/relative-la-prise-de-controle-exclusif-de-la-societe-geimex</w:t>
      </w:r>
    </w:p>
    <w:p>
      <w:r>
        <w:t>Pages translated : 8</w:t>
      </w:r>
    </w:p>
    <w:p/>
    <w:p>
      <w:r>
        <w:rPr>
          <w:b/>
        </w:rPr>
        <w:t>[Pages 1–3]</w:t>
      </w:r>
    </w:p>
    <w:p>
      <w:r>
        <w:t xml:space="preserve">FRENCH REPUBLIC  </w:t>
        <w:br/>
        <w:t xml:space="preserve">Decision No. 16-DCC-155 of October 14, 2016  </w:t>
        <w:br/>
        <w:t xml:space="preserve">regarding the exclusive control of the company Geimex by the  </w:t>
        <w:br/>
        <w:t>Casino group</w:t>
      </w:r>
    </w:p>
    <w:p>
      <w:r>
        <w:t xml:space="preserve">The Competition Authority,  </w:t>
        <w:br/>
        <w:t xml:space="preserve">Having regard to the notification file submitted in full to the merger service on July 26, 2016,  </w:t>
        <w:br/>
        <w:t xml:space="preserve">regarding the exclusive control of the company Geimex by the Casino group, formalized by  </w:t>
        <w:br/>
        <w:t xml:space="preserve">a settlement agreement dated May 25, 2016;  </w:t>
        <w:br/>
        <w:t xml:space="preserve">Having regard to Book IV of the Commercial Code relating to the freedom of prices and competition, and in particular  </w:t>
        <w:br/>
        <w:t xml:space="preserve">its Articles L. 430-1 to L. 430-7 and R. 461-1;  </w:t>
        <w:br/>
        <w:t xml:space="preserve">Having regard to the commitments presented on October 6, 2016, by the notifying party;  </w:t>
        <w:br/>
        <w:t xml:space="preserve">Having regard to the additional elements transmitted by the parties during the investigation;  </w:t>
        <w:br/>
        <w:t>Adopts the following decision:</w:t>
      </w:r>
    </w:p>
    <w:p>
      <w:r>
        <w:t xml:space="preserve">I. The concerned companies and the operation  </w:t>
        <w:br/>
        <w:t xml:space="preserve">1. The Casino group, a French player in food retailing, manages a network of  </w:t>
        <w:br/>
        <w:t xml:space="preserve">over 14,000 stores (hypermarkets, supermarkets, convenience stores, discount stores) notably under the brands Franprix, Géant Casino, Casino Supermarché, Petit  </w:t>
        <w:br/>
        <w:t xml:space="preserve">Casino, Spar, Vival, Monoprix, and Leader Price. The group is also present in the  </w:t>
        <w:br/>
        <w:t xml:space="preserve">online distribution sector of non-food products with the brand Cdiscount.  </w:t>
        <w:br/>
        <w:t xml:space="preserve">2. The Casino group is composed of several subsidiaries, including the companies Distribution  </w:t>
        <w:br/>
        <w:t xml:space="preserve">Casino France (hereinafter, "DCF") and Franprix Leader Price Holding (hereinafter, "FLPH"). DCF  </w:t>
        <w:br/>
        <w:t xml:space="preserve">holds all hypermarket, supermarket, and small retail activities of the Casino group in France,  </w:t>
        <w:br/>
        <w:t xml:space="preserve">except for the points of sale operated under the Monoprix brands. It particularly manages the  </w:t>
        <w:br/>
        <w:t xml:space="preserve">activities under the Casino brands (Géant, Casino Supermarché, Casino Shop, Petit Casino) and the  </w:t>
        <w:br/>
        <w:t xml:space="preserve">group's convenience brands (Spar, Vival). FLPH is a subsidiary of DCF whose corporate purpose is  </w:t>
        <w:br/>
        <w:t xml:space="preserve">notably the management and acquisition of stakes in companies operating stores under the  </w:t>
        <w:br/>
        <w:t>Franprix and Leader Price brands.</w:t>
      </w:r>
    </w:p>
    <w:p>
      <w:r>
        <w:t xml:space="preserve">3. The company Geimex (hereinafter, "Geimex") is the owner of the Leader Price and Franprix  </w:t>
        <w:br/>
        <w:t xml:space="preserve">trademarks for international markets. It also holds an exclusive license to operate these trademarks  </w:t>
        <w:br/>
        <w:t xml:space="preserve">in the overseas departments and regions (hereinafter, "DROM"). In the DROM, Geimex does  </w:t>
        <w:br/>
        <w:t xml:space="preserve">not directly operate these trademarks but grants their use to third parties. Geimex also engages in  </w:t>
        <w:br/>
        <w:t xml:space="preserve">the purchase/resale of products distributed within the Leader Price network. Geimex is jointly  </w:t>
        <w:br/>
        <w:t xml:space="preserve">controlled by the Casino group and the Baud family.  </w:t>
        <w:br/>
        <w:t xml:space="preserve">4. The transaction, formalized by a [confidential] agreement, involves the transfer to the Casino group  </w:t>
        <w:br/>
        <w:t xml:space="preserve">of the shares held by the Baud family in the capital of Geimex. Upon completion of the transaction,  </w:t>
        <w:br/>
        <w:t xml:space="preserve">Casino will hold all the shares and voting rights of Geimex.  </w:t>
        <w:br/>
        <w:t xml:space="preserve">5. Insofar as it results in the exclusive control of Geimex by Casino, the transaction  </w:t>
        <w:br/>
        <w:t xml:space="preserve">constitutes a concentration operation within the meaning of Article L. 430-1 of the Commercial Code.  </w:t>
        <w:br/>
        <w:t xml:space="preserve">6. The concerned companies together achieve a total turnover excluding taxes on a global scale of more than  </w:t>
        <w:br/>
        <w:t xml:space="preserve">150 million euros (Casino: 46.1 billion euros for the fiscal year ending December 31, 2015; Geimex: […] euros for the same fiscal year). Each of these companies  </w:t>
        <w:br/>
        <w:t xml:space="preserve">achieved in France a turnover exceeding 50 million euros (Casino: 20.6 billion euros for the fiscal year  </w:t>
        <w:br/>
        <w:t xml:space="preserve">ending December 31, 2015; Geimex: […] euros for the same fiscal year). Given these turnover figures,  </w:t>
        <w:br/>
        <w:t xml:space="preserve">the transaction does not fall under the jurisdiction of the European Union. On the other hand, the  </w:t>
        <w:br/>
        <w:t xml:space="preserve">control thresholds mentioned in I of Article L. 430-2 of the Commercial Code are exceeded. This  </w:t>
        <w:br/>
        <w:t xml:space="preserve">transaction is therefore subject to the provisions of Articles L. 430-3 and following of the Commercial Code  </w:t>
        <w:br/>
        <w:t>relating to economic concentration.</w:t>
      </w:r>
    </w:p>
    <w:p>
      <w:r>
        <w:t xml:space="preserve">II. Delimitation of relevant markets  </w:t>
        <w:br/>
        <w:t xml:space="preserve">A. UPSTREAM SUPPLY MARKETS  </w:t>
        <w:br/>
        <w:t xml:space="preserve">1. PRODUCT MARKETS  </w:t>
        <w:br/>
        <w:t xml:space="preserve">7. Regarding the supply markets, where companies as buyers are in contact with the manufacturers of the products, the European Commission has  </w:t>
        <w:br/>
        <w:t xml:space="preserve">segmented the market based on major product families, a delimitation followed by national authorities.  </w:t>
        <w:br/>
        <w:t xml:space="preserve">2. GEOGRAPHIC MARKET  </w:t>
        <w:br/>
        <w:t xml:space="preserve">8. From a geographical perspective, the consistent decision-making practice of competition authorities  </w:t>
        <w:br/>
        <w:t>considers that supply markets are of national dimension.</w:t>
      </w:r>
    </w:p>
    <w:p>
      <w:r>
        <w:t xml:space="preserve">9. However, the Authority adopted a different approach for the DROM, highlighting the specific nature  </w:t>
        <w:br/>
        <w:t xml:space="preserve">of supply chains in these territories and its effects on competitive balance. Additionally, a portion of  </w:t>
        <w:br/>
        <w:t xml:space="preserve">the supply for predominantly food retail brands comes from local producers, due to local tastes and  </w:t>
        <w:br/>
        <w:t xml:space="preserve">eating habits and import costs. Thus, the Authority was able to analyze the supply markets in the  </w:t>
        <w:br/>
        <w:t xml:space="preserve">Antilles-Guyana area separately.  </w:t>
        <w:br/>
        <w:t>10. In this case, the parties are not active in the Antilles-Guyana area but only in mainland France.</w:t>
      </w:r>
    </w:p>
    <w:p>
      <w:r>
        <w:t xml:space="preserve">B. DOWNSTREAM DISTRIBUTION MARKETS  </w:t>
        <w:br/>
        <w:t xml:space="preserve">1. SERVICE MARKETS  </w:t>
        <w:br/>
        <w:t xml:space="preserve">11. Regarding the retail sale of everyday consumer goods, both community and national competition authorities have distinguished six categories of commerce using several criteria,  </w:t>
        <w:br/>
        <w:t xml:space="preserve">notably the size of stores, their sales techniques, their accessibility, the nature of the service provided, and the range of products offered: (i) hypermarkets (with a legal sales area exceeding 2,500 m²), (ii) supermarkets (food-dominant stores with a sales area less than 2,500 m² and greater than 400 m²), (iii) specialized commerce, (iv) small retail (less than 400 m²), (v) maxi discounters, (vi) mail order sales.  </w:t>
        <w:br/>
        <w:t xml:space="preserve">12. Within small retail, small self-service stores offering a narrow assortment of everyday products (with an area less than 120 m²) and convenience stores whose product offering is somewhat broader (with an area between 120 and 400 m²) are distinguished.  </w:t>
        <w:br/>
        <w:t xml:space="preserve">13. Competition authorities consider that, while each category of store retains its specificity, there is asymmetric competition between certain of these categories. They thus distinguish:  </w:t>
        <w:br/>
        <w:t xml:space="preserve">a. a market comprising only hypermarkets; and  </w:t>
        <w:br/>
        <w:t xml:space="preserve">b. a market comprising supermarkets and equivalent forms of commerce (hypermarkets, hard-discount, and popular stores) excluding small retail (less than 400 m²).  </w:t>
        <w:br/>
        <w:t xml:space="preserve">14. Regarding small retail, decision-making practice has also highlighted the existence of an asymmetric competitive relationship with other forms of commerce. In certain geographical configurations, a hypermarket, a supermarket, or a hard-discount store over 400 m² may be habitually used by some consumers as a convenience store, substituting for a convenience store, while the reverse is not true. Thus, while hypermarkets and supermarkets exert strong competition on small retail (less than 400 m²), the reverse is almost never verified. Convenience stores therefore face competition from other convenience stores as well as from supermarkets, discount stores, and hypermarkets.  </w:t>
        <w:br/>
        <w:t>15. In this case, the Geimex licensees LP Guadeloupe and Chang Hing Wing jointly operate, directly or indirectly, 18 Leader Price stores with an area between 1,370 m².</w:t>
      </w:r>
    </w:p>
    <w:p>
      <w:r>
        <w:rPr>
          <w:b/>
        </w:rPr>
        <w:t>[Pages 4–6]</w:t>
      </w:r>
    </w:p>
    <w:p>
      <w:r>
        <w:t>and 290 m². They are therefore present only in the markets of supermarkets and equivalent forms of commerce and small retail businesses.</w:t>
      </w:r>
    </w:p>
    <w:p>
      <w:r>
        <w:t>2. GEOGRAPHIC MARKETS</w:t>
      </w:r>
    </w:p>
    <w:p>
      <w:r>
        <w:t>16. Regarding supermarkets, it follows from decision-making practice that competition conditions are generally assessed in an area where consumer demand and the supply of supermarkets and equivalent forms of commerce meet, located within a 15-minute driving time.</w:t>
      </w:r>
    </w:p>
    <w:p>
      <w:r>
        <w:t>17. However, decision-making practice has analyzed areas corresponding to a 10-minute driving time around supermarkets located in the near suburbs of Paris and areas corresponding to a 10 and 15-minute driving time around supermarkets located in the outer suburbs or in large provincial cities.</w:t>
      </w:r>
    </w:p>
    <w:p>
      <w:r>
        <w:t>18. Regarding small retail businesses, decision-making practice has specified that this category "is characterized by a clientele primarily composed of individuals living within 500 meters of the point of sale, walking to the place of sale and making low-value purchases." In several recent decisions, the effects of concentration operations concerning points of sale with an area of less than 400 m² have been examined in catchment areas corresponding to a 10-minute walking time.</w:t>
      </w:r>
    </w:p>
    <w:p>
      <w:r>
        <w:t>19. Other criteria may nevertheless be taken into account to assess the impact of a concentration on the competitive situation in retail distribution markets, which may lead to refining the usual boundaries presented above.</w:t>
      </w:r>
    </w:p>
    <w:p>
      <w:r>
        <w:t>20. In this case, the operation concerns: (i) […] points of sale with a sales area of 400 m² or more located in Guadeloupe ([…]), Saint Martin ([…]) and Guyana ([…]) and (ii) […] points of sale with a sales area of less than 400 m² located in Guadeloupe.</w:t>
      </w:r>
    </w:p>
    <w:p>
      <w:r>
        <w:t>21. There is no need to challenge these boundaries in the context of the present operation.</w:t>
      </w:r>
    </w:p>
    <w:p>
      <w:r>
        <w:t>III. Competitive Analysis</w:t>
      </w:r>
    </w:p>
    <w:p>
      <w:r>
        <w:t>A. UPSTREAM SUPPLY MARKETS</w:t>
      </w:r>
    </w:p>
    <w:p>
      <w:r>
        <w:t>22. At the national level, the combined market share of the parties does not exceed [10-20]% in the various upstream supply markets, and the market share increment resulting from the operation is less than 0.1% regardless of the market concerned. The operation is therefore not likely to significantly strengthen the purchasing power of the Casino group. The strengthening of the Casino group in the supply markets following the operation will be all the more marginal as, prior to the operation, Geimex already makes [70-80]% of its purchases from the Casino group.</w:t>
      </w:r>
    </w:p>
    <w:p>
      <w:r>
        <w:t>B. DOWNSTREAM DISTRIBUTION MARKETS</w:t>
      </w:r>
    </w:p>
    <w:p>
      <w:r>
        <w:t>23. The Casino and Geimex groups are both present in the retail distribution sector predominantly focused on food in the Antilles-Guyana area. However, Geimex and Casino do not control any stores in this territory and operate only as "master franchisors" for certain brands of the Casino group (notably Leader Price and Franprix) for which they grant the right of operation to third-party companies. The notified operation thus raises the question of considering these companies in the activities of Geimex on the one hand and Casino on the other, for the purpose of evaluating their market shares (1), a necessary prerequisite for examining the effects of the operation (2).</w:t>
      </w:r>
    </w:p>
    <w:p>
      <w:r>
        <w:t>1. SCOPE OF THE PARTIES' ACTIVITIES</w:t>
      </w:r>
    </w:p>
    <w:p>
      <w:r>
        <w:t>24. In accordance with the decision-making practice of the Competition Authority and the case law of the Council of State, the integration of franchised stores into the scope of activities of the franchisor group depends on the degree of commercial autonomy granted by the franchise agreements concluded. The Authority has notably considered that the following criteria allow inferring the absence of autonomy of members of a franchise network: (i) the possibility for the head of the network to set maximum prices for its members affecting the member's freedom to set its prices independently, (ii) the supply obligations of members to procure a significant portion of their purchases from the group,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materials, (v) the obligation to reference more than 50% of the product lines of the head of the network, (vi) the more or less long duration of the contracts.</w:t>
      </w:r>
    </w:p>
    <w:p>
      <w:r>
        <w:t>a) Licensees and franchisees of the Geimex group</w:t>
      </w:r>
    </w:p>
    <w:p>
      <w:r>
        <w:t>25. Geimex has entered into a Master Franchise Agreement for Franprix and a brand license for Leader Price with the company Etablissements Fabre. None of these contracts are likely to hinder the commercial autonomy of these companies, in light of the criteria defined by decision-making practice, so they do not need to be taken into account in the analysis of Geimex's market power.</w:t>
      </w:r>
    </w:p>
    <w:p>
      <w:r>
        <w:t>26. Geimex has also entered into brand license agreements for Leader Price with the companies LP Guadeloupe and Chang Hing Wing, the latter being controlled by Etablissements Fabre. These contracts contain provisions that may restrict the commercial autonomy of these companies in that they require them to sell only products bearing the Leader Price label and for which they are obliged to procure from Geimex. Under the terms of the LP Guadeloupe and Chang Hing Wing license agreements, they are also required to comply with the pricing recommendations of the Casino group for Leader Price branded products. Therefore, it is necessary to integrate the Leader Price stores operated by LP Guadeloupe and Chang Hing Wing into the activities of the Geimex group.</w:t>
      </w:r>
    </w:p>
    <w:p>
      <w:r>
        <w:t>b) Casino affiliates, partners, and franchisees</w:t>
      </w:r>
    </w:p>
    <w:p>
      <w:r>
        <w:t>27. In the Antilles-Guyana area, the Casino group has entered into partnership agreements with the companies Aprocab, Sodex Desmarais, and Sodex Saint François, which are responsible for operating stores under the Casino group banner in Guadeloupe. The Casino group has also entered into franchise agreements with the companies Karumo and Gourmet Food Store for the operation of stores under the Monoprix banner respectively in Guadeloupe and Saint Martin. These various partnership and franchise agreements contain several provisions likely to restrict the commercial autonomy of the partner operators and franchisees. In particular, the Casino banner agreements notably provide that partners and franchisees commit to (i) prioritize sourcing from Casino, (ii) take into account (except for Aprocab) the recommended prices made available by Casino, (iii) participate in the advertising campaigns organized annually by Casino and have any promotional campaign they initiate validated, (iv) submit any project for the establishment of points of sale for approval, and (v) comply with the store layout decided by Casino. The Monoprix franchise agreements also stipulate that franchisees commit to (i) source more than […]% or primarily from products referenced by Monoprix, (ii) comply with the installation and layout standards of the stores set by Monoprix, (iii) have any advertising or promotional action validated, and (iv) grant [confidential]. Therefore, the companies Aprocab, Sodex Desmarais, Sodex Saint François, Karumo, and Gourmet Food Store must be integrated into the activities of the Casino group for the evaluation of its market shares.</w:t>
      </w:r>
    </w:p>
    <w:p>
      <w:r>
        <w:t>28. The Casino group has also entered into affiliation, partnership, or franchise agreements with GIE Super H and the companies Chalengge and Royal Food Store, which operate stores under the Casino group banner in Guadeloupe, Martinique, Guyana, and Saint Martin. However, the question of the commercial autonomy of these operators may be left open, as the conclusions of the competitive analysis remain unchanged regardless of the hypothesis retained.</w:t>
      </w:r>
    </w:p>
    <w:p>
      <w:r>
        <w:t>2. EFFECTS OF THE OPERATION</w:t>
      </w:r>
    </w:p>
    <w:p>
      <w:r>
        <w:t>29. The operation results in an overlap of activities with the stores operated by the Geimex licensees LP Guadeloupe and Chang Hing Wing in 13 catchment areas. Except for the areas of Baillif (971), Saint François (971), and Sainte Anne (971), the market share of the stores operated under the Casino group banner will remain below 45% in all the concerned areas. The parties will also continue to face competition from several retail brands, notably Carrefour, Ecomax, and Super U.</w:t>
      </w:r>
    </w:p>
    <w:p>
      <w:r>
        <w:t>30. LP Guadeloupe operates a store under the Leader Price banner located on Allée des Pères Blancs in Baillif (971) with an area of 1,181 m², representing a market share of [10-20]%. In the 15-minute driving catchment area around this store, the company Sodex Desmarais operates a hypermarket under the Casino banner with an area of 3,080 m², representing a market share of [30-40]%. Following the operation, the position of the Casino group will therefore be [50-60]%.</w:t>
      </w:r>
    </w:p>
    <w:p>
      <w:r>
        <w:t>31. LP Guadeloupe also operates a store under the Leader Price banner located at Pradel in Saint François (971) with an area of 606 m², representing a market share of [10-20]%. In the 15-minute driving catchment area around this store, LP Guadeloupe operates a second Leader Price store with an area of 800 m², representing a market share of [10-20]%.</w:t>
      </w:r>
    </w:p>
    <w:p>
      <w:r>
        <w:rPr>
          <w:b/>
        </w:rPr>
        <w:t>[Pages 7–8]</w:t>
      </w:r>
    </w:p>
    <w:p>
      <w:r>
        <w:t>In this area, the company Sodex Saint François operates a hypermarket under the Casino brand with a surface area of 1,000 m², representing a market share of [20-30] %. The company Aprocab operates a small Casino with a surface area of 400 m², representing a market share of [5-10] %. Following the transaction, the position of the Casino group will therefore be [60-70] %.</w:t>
      </w:r>
    </w:p>
    <w:p>
      <w:r>
        <w:t>32. LP Guadeloupe also operates a retail outlet under the Leader Price brand located on the route de Saint François in Saint Anne (971) with a surface area of 800 m², representing a market share of [10-20] %. In the 15-minute driving catchment area around this store, LP Guadeloupe operates a second Leader Price store with a surface area of 606 m², representing a market share of [10-20] %. In this area, the company Sodex Saint François operates a hypermarket under the Casino brand with a surface area of 1,000 m², representing a market share of [10-20] %. The company Sodex Aprocab operates a small Casino with a surface area of 400 m², representing a market share of [5-10] %. Following the transaction, the position of the Casino group will therefore be [50-60] %.</w:t>
      </w:r>
    </w:p>
    <w:p>
      <w:r>
        <w:t>33. Given the market shares that the Casino group will hold in the areas of Baillif (971), Saint François (971), and Sainte Anne (971) following the transaction, it is likely to harm competition. However, the Casino group has submitted commitments, described below, that eliminate any doubt regarding the commercial autonomy of the LP Guadeloupe and Chang Hing Wing licensees. Under these conditions, the transaction no longer results in overlaps in the downstream markets of predominantly food retail.</w:t>
      </w:r>
    </w:p>
    <w:p>
      <w:r>
        <w:t>IV. The Commitments</w:t>
      </w:r>
    </w:p>
    <w:p>
      <w:r>
        <w:t>A. DESCRIPTION OF THE PROPOSED COMMITMENTS</w:t>
      </w:r>
    </w:p>
    <w:p>
      <w:r>
        <w:t>34. The notifying party presented, on October 6, 2016, commitments aimed at removing any doubt regarding the commercial autonomy of the LP Guadeloupe and Chang Hing Wing licensees (now Etablissements Fabre). The text of these commitments, attached as an annex, is an integral part of this decision.</w:t>
      </w:r>
    </w:p>
    <w:p>
      <w:r>
        <w:t>35. The Casino group has thus committed, for the stores operated under the Leader Price brand by these two licensees, to remove the obligation to sell only Leader Price branded products. Similarly, the Casino Group has committed to remove the obligation of exclusive supply for national brand products, fresh products, local products, and unbranded products. The notifying party has also committed to limiting the pricing recommendation in the licensing contracts to only products bearing the Leader Price brand. Finally, for a period of […] years from the date of this decision, the Casino Group has committed not to make modifications to the contracts that would deprive the licensees of their commercial autonomy, nor to enter into new contracts with the licensees that would deprive them of their commercial autonomy.</w:t>
      </w:r>
    </w:p>
    <w:p>
      <w:r>
        <w:t>B. ASSESSMENT OF THE PROPOSED MEASURES</w:t>
      </w:r>
    </w:p>
    <w:p>
      <w:r>
        <w:t>36. As this is a horizontal concentration, the Authority primarily seeks structural corrective measures aimed at ensuring competitive market structures through divestitures to an appropriate acquirer capable of exerting real competition, or the elimination of capital links between competitors. Furthermore, the Authority ensures that the remedies are proportionate. Consequently, the adopted measures must effectively remedy the identified competition concerns, imposing on the companies a burden strictly necessary to maintain or restore sufficient competition.</w:t>
      </w:r>
    </w:p>
    <w:p>
      <w:r>
        <w:t>37. The commitments proposed by the notifying party in this case consist of removing all contractual provisions that restrict the commercial autonomy of the Geimex group licensees. The transaction indeed has the particularity of involving the exclusive control of a company whose activity consists not in operating stores, but in granting brand licenses and franchises, resulting in horizontal activity overlaps only due to the insufficient commercial autonomy of its business partners, who operate food stores. Therefore, the adoption of structural divestiture measures is not feasible, and given the specifics of this case, the proposed contractual modification measures eliminate any overlap of activities between the parties. Moreover, the notifying party's commitment not to make modifications to the contracts that would deprive the licensees of their commercial autonomy, nor to enter into new contracts with the licensees that would deprive them of their commercial autonomy, for a period of […] years, is likely to ensure the effectiveness of the commitment.</w:t>
      </w:r>
    </w:p>
    <w:p>
      <w:r>
        <w:t>38. These contractual modifications must, in any event, occur within a sufficiently rapid timeframe to restore sufficient competition in the relevant markets. This is the case here, as the Casino group commits to ensuring that the contractual obligations hindering the autonomy of the Geimex group licensees are lifted within a period of […] months from the date of this decision.</w:t>
      </w:r>
    </w:p>
    <w:p>
      <w:r>
        <w:t>39. Consequently, the Authority considers that the commitments proposed by the notifying party are sufficient to eliminate the competition concerns resulting from the transaction.</w:t>
      </w:r>
    </w:p>
    <w:p>
      <w:r>
        <w:t>DECIDES</w:t>
      </w:r>
    </w:p>
    <w:p>
      <w:r>
        <w:t>Sole Article: The transaction notified under number 16-118 is authorized subject to the commitments described above and annexed to this decision.</w:t>
      </w:r>
    </w:p>
    <w:p>
      <w:r>
        <w:t>The Vice-President,</w:t>
        <w:br/>
        <w:t>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