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https://www.autoritedelaconcurrence.fr/fr/decision-de-controle-des-concentrations/relative-la-prise-de-controle-exclusif-de-la-societe-gekko</w:t>
      </w:r>
    </w:p>
    <w:p>
      <w:r>
        <w:t>Pages translated : 10</w:t>
      </w:r>
    </w:p>
    <w:p/>
    <w:p>
      <w:r>
        <w:rPr>
          <w:b/>
        </w:rPr>
        <w:t>[Pages 1–3]</w:t>
      </w:r>
    </w:p>
    <w:p>
      <w:r>
        <w:t xml:space="preserve">FRENCH REPUBLIC  </w:t>
        <w:br/>
        <w:t xml:space="preserve">Decision No. 17-DCC-220 of December 22, 2017  </w:t>
        <w:br/>
        <w:t>regarding the exclusive control of the company Gekko by the company Accor</w:t>
      </w:r>
    </w:p>
    <w:p>
      <w:r>
        <w:t xml:space="preserve">The Competition Authority,  </w:t>
        <w:br/>
        <w:t xml:space="preserve">Having regard to the notification file submitted in full to the merger service on November 22, 2017, regarding the exclusive control of the company Gekko by the company Accor, formalized by a memorandum of understanding dated September 29,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Accor is a public limited company, head of the AccorHotels group. The latter is active in the hotel industry with 4,100 establishments in more than 95 countries. The AccorHotels group notably owns the brands Sofitel, Novotel, Mercure, and Ibis. Accor SA is not controlled by any of its shareholders.  </w:t>
        <w:br/>
        <w:t xml:space="preserve">2. Gekko is a simplified joint-stock company under French law. It is jointly controlled by Messrs. Olivier Delouis and Stéphane de Laforcade on the one hand and by the HLD group on the other hand. Gekko is active in the hotel booking market with the Teldar solutions (for travel agencies), Hotel Corporate System (for companies), Infinite Hotel (hotel referencing), and Miles Attack (incentive program for travel agencies).  </w:t>
        <w:br/>
        <w:t xml:space="preserve">3. The notified operation consists of the acquisition of [...] % of the capital of Gekko by Accor, the remaining capital being held by Messrs. Delouis and de Laforcade. The shareholders' agreement of October 13, 2017, provides that Accor appoints the majority of the members of the Supervisory Board, which adopts Gekko's strategic decisions by a simple majority, including its annual budget and three-year business plan.  </w:t>
        <w:br/>
        <w:t xml:space="preserve">4. As it results in the exclusive control of Gekko by Accor, the notified operation constitutes a concentration operation within the meaning of Article L. 430-1 of the Commercial Code.  </w:t>
        <w:br/>
        <w:t xml:space="preserve">5. The companies concerned together achieve a total worldwide turnover excluding taxes of more than 150 million euros (Accor: [...] euros for the fiscal year ending December 31, 2016; Gekko: [...] euros for the same fiscal year). Each of these companies has achieved a turnover in France exceeding 50 million euros (Accor: [...] euros for the fiscal year ending December 31, 2016; Gekko: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6. The operation was notified to the Austrian competition authority on November 21, 2017.</w:t>
      </w:r>
    </w:p>
    <w:p>
      <w:r>
        <w:t xml:space="preserve">II. Delimitation of the relevant markets  </w:t>
        <w:br/>
        <w:t>7. The contemplated operation concerns the tourism sector. AccorHotels provides hotel services to tourism professionals, businesses, and individuals. Gekko provides hotel intermediation services, aggregating hotel service offers to propose them to tourism professionals and businesses.</w:t>
      </w:r>
    </w:p>
    <w:p>
      <w:r>
        <w:t xml:space="preserve">A. THE PRODUCT AND SERVICE MARKETS  </w:t>
        <w:br/>
        <w:t xml:space="preserve">1. HOTEL SECTOR  </w:t>
        <w:br/>
        <w:t xml:space="preserve">8. In the hotel sector, decision-making practice has considered several segmentations based on price and comfort level, based on the classification of establishments, as well as their mode of operation. In this regard, decision-making practice distinguishes between integrated hotel chains, voluntary chains, and independent hotels.  </w:t>
        <w:br/>
        <w:t xml:space="preserve">9. Regarding the distinction of hotel establishments based on comfort level, decision-making practice has considered several segmentation methods: grouping by star pairs (1-2 stars; 2-3 stars; 3-4 stars) or taking into account the immediately lower category and the immediately higher category (1-3 stars, 2-4 stars). The minister responsible for the economy has considered a distinction between budget hotels (1-3 stars) and luxury hotels (4 stars and above).  </w:t>
        <w:br/>
        <w:t xml:space="preserve">10. In this case, only the AccorHotels group is present in this market. It has hotel brands present across all the considered segmentations.  </w:t>
        <w:br/>
        <w:t>11. The question of the exact delimitation of service markets can, however, be left open insofar as the conclusions of the competitive analysis remain unchanged, regardless of the segmentations retained.</w:t>
      </w:r>
    </w:p>
    <w:p>
      <w:r>
        <w:t xml:space="preserve">2. HOTEL INTERMEDIATION SECTOR  </w:t>
        <w:br/>
        <w:t xml:space="preserve">12. The European Commission has identified a market for computer reservation systems for travel agencies (hereinafter, "GDS" - Global Distribution Systems). GDS are defined as intermediaries in the two-sided market where the supply is directed, upstream, to travel service providers (airlines, for example) and, downstream, to travel agencies. The inclusion of travel service provider websites in this market has also been considered.  </w:t>
        <w:br/>
        <w:t xml:space="preserve">13. Similarly, European decision-making practice has considered a two-sided market for hotel intermediation where the supply is directed, upstream, to hotel service providers and, downstream, to physical and online travel agencies and tour operators. The European Commission has already considered these markets in a broad sense, meaning including notably hotel central reservations, GDS, online travel agencies (hereinafter "OTA"), aggregators, and distribution channels of hoteliers such as accorhotels.com. Furthermore, it has considered different more restrictive segmentations with (i) a market excluding hotel distribution channels, (ii) a market integrating exclusively wholesalers and GDS, and (iii) a market integrating only hotel wholesalers.  </w:t>
        <w:br/>
        <w:t xml:space="preserve">14. The notifying party has retained a segmentation including exclusively aggregators.  </w:t>
        <w:br/>
        <w:t xml:space="preserve">15. In this case, AccorHotels has booking platforms for overnight stays aimed at travel agencies and other tourism professionals. The Gekko group references hotels with its Infinite Hotels service. These hotels are then offered to tourism professionals via its Teldar platform.  </w:t>
        <w:br/>
        <w:t>16. The question of the exact delimitation of service markets can, however, be left open insofar as the conclusions of the competitive analysis remain unchanged, regardless of the segmentations retained.</w:t>
      </w:r>
    </w:p>
    <w:p>
      <w:r>
        <w:rPr>
          <w:b/>
        </w:rPr>
        <w:t>[Pages 4–6]</w:t>
      </w:r>
    </w:p>
    <w:p>
      <w:r>
        <w:t xml:space="preserve">3. TRAVEL AGENCY SERVICES SECTOR  </w:t>
        <w:br/>
        <w:t xml:space="preserve">17. The consistent practice of competition authorities considers that the travel agency services sector should be segmented between leisure travel and business travel. Furthermore, within business travel, decision-making practice has considered segmentation based on the client between SMEs and large accounts.  </w:t>
        <w:br/>
        <w:t xml:space="preserve">18. Segmentation based on the distribution channel of travel agency services (online or through physical agencies) has also been considered.  </w:t>
        <w:br/>
        <w:t xml:space="preserve">19. Within the leisure travel market distributed by travel agencies, the package travel market (including transportation) constitutes a distinct market. The European Commission has considered that recent developments in the sector, notably the development of dynamic packages, that is to say, the composition at the time of the client's need formulation of a travel offer including transportation, could limit the relevance of a distinct market for package travel. However, it has left this question open.  </w:t>
        <w:br/>
        <w:t xml:space="preserve">20. Symmetrically, it has defined a market for the sale of travel services outside package travel. Within this market, it has considered distinguishing specific markets for the sale of flights, on the one hand, and overnight stays, on the other hand.  </w:t>
        <w:br/>
        <w:t xml:space="preserve">21. Two additional sub-segmentations have been considered for package travel, the sale of hotel nights and flights: (i) a segmentation based on the domestic or international nature of the destination and (ii) within international destinations, a sub-segmentation between nearby and distant foreign destinations (accessible by more than six hours of flight).  </w:t>
        <w:br/>
        <w:t xml:space="preserve">22. In this case, AccorHotels is present in the leisure travel segment through its online travel agency Verychic.com and marginally through its package travel offer in partnership with Mister Fly. Gekko is present in travel agency services for businesses through its H-Corpo offer.  </w:t>
        <w:br/>
        <w:t xml:space="preserve">23. See the decisions of the European Commission M.334 Costa Crociere/Chargeurs/Accor of July 19, 1993, M.6163 Axa/Permira/Opodo/Go Voyages/Edreams of May 30, 2011, M.7238 American Express Company/Qatar Holding/GBT of June 20, 2014, M.7358 Dnata/Stella of October 9, 2014, and M.8046 TUI/Transat France of October 20, 2016, the decisions of the Competition Authority No. 15-DCC-183 of December 24, 2015, regarding the exclusive control of CWT Distribution by Marietton Développement, No. 16-DCC-35 of March 16, 2016, regarding the exclusive control of assets of the FRAM group by LBO France Gestion, and No. 16-DCC-166 of October 31, 2016, regarding the exclusive control of Bazarchic by UPLIC (Galeries Lafayette group), and the letter from the Minister of Economy, Finance and Industry C2008-110 of November 12, 2008, regarding a concentration in the online travel sales sector.  </w:t>
        <w:br/>
        <w:t xml:space="preserve">24. See the letter from the Minister of Economy, Finance and Industry C2004-005 of March 29, 2004, to the advisors of SEAVT, regarding a concentration in the tourism sector.  </w:t>
        <w:br/>
        <w:t xml:space="preserve">25. See the decisions M.6163, M.7358, M.8046, No. 16-DCC-35 and No. 16-DCC-166 mentioned above.  </w:t>
        <w:br/>
        <w:t xml:space="preserve">26. See the decisions M.6163, M.7238, M.7358, M.8046, and No. 15-DCC-183 mentioned above.  </w:t>
        <w:br/>
        <w:t xml:space="preserve">27. See the decision M.8046 mentioned above.  </w:t>
        <w:br/>
        <w:t xml:space="preserve">28. See the decisions of the European Commission M.5462 Thomas Cook Group/Gold Medal International of March 30, 2009, and the decisions M.6163, M.8046, No. 16-DCC-35 and No. 16-DCC-166 mentioned above.  </w:t>
        <w:br/>
        <w:t xml:space="preserve">29. See the decisions M.6163 and M.8046 mentioned above.  </w:t>
        <w:br/>
        <w:t>30. See the decisions M.5462, M.8046, No. 16-DCC-35 and No. 16-DCC-166 mentioned above.</w:t>
      </w:r>
    </w:p>
    <w:p>
      <w:r>
        <w:t xml:space="preserve">4. SECTOR OF EVENT ORGANIZATION OUTSIDE TRADE SHOWS AND FAIRS  </w:t>
        <w:br/>
        <w:t xml:space="preserve">31. Decision-making practice has considered a market for the organization of events other than trade shows and fairs (congresses, exhibitions, seminars, conventions).  </w:t>
        <w:br/>
        <w:t>32. In this case, both parties are present in this segment.</w:t>
      </w:r>
    </w:p>
    <w:p>
      <w:r>
        <w:t xml:space="preserve">B. GEOGRAPHIC MARKETS  </w:t>
        <w:br/>
        <w:t xml:space="preserve">1. HOSPITALITY SECTOR  </w:t>
        <w:br/>
        <w:t xml:space="preserve">33. Competition authorities consider that hospitality markets can be analyzed both at the national level, particularly for hotel chains, as competitive conditions are homogeneous across the entire metropolitan territory, and at the local level, notably because the main choice criterion for the client is the location of the establishment.  </w:t>
        <w:br/>
        <w:t xml:space="preserve">34. However, the question of the exact delimitation of geographic markets can be left open, insofar as the conclusions of the competitive analysis remain unchanged, regardless of the delimitation retained.  </w:t>
        <w:br/>
        <w:t>35. In this case, in the absence of horizontal overlap in this market between the parties, the analysis will be conducted at the national level.</w:t>
      </w:r>
    </w:p>
    <w:p>
      <w:r>
        <w:t xml:space="preserve">2. HOTEL INTERMEDIATION SECTOR  </w:t>
        <w:br/>
        <w:t xml:space="preserve">36. By analogy with its decision-making practice on GDS, the European Commission has considered a global dimension for the upstream market, and at least a national dimension for the downstream market, while leaving open the exact definition of geographic markets.  </w:t>
        <w:br/>
        <w:t xml:space="preserve">37. In any event, the exact geographic delimitation of this market can be left open, insofar as, regardless of the segmentation retained, the conclusions of the competitive analysis remain unchanged.  </w:t>
        <w:br/>
        <w:t>38. In this case, the analysis will be conducted at the national level for the downstream market and at the national, European, and global levels for the upstream market.</w:t>
      </w:r>
    </w:p>
    <w:p>
      <w:r>
        <w:t xml:space="preserve">3. TRAVEL AGENCY SERVICES SECTOR  </w:t>
        <w:br/>
        <w:t xml:space="preserve">39. Competition authorities generally consider that travel agency services are of national dimension, notably due to linguistic and cultural barriers, the question of a regional or local dimension having been left open.  </w:t>
        <w:br/>
        <w:t>40. In this case, as the parties are exclusively active online, the analysis will be conducted at the national level.</w:t>
      </w:r>
    </w:p>
    <w:p>
      <w:r>
        <w:t xml:space="preserve">4. SECTOR OF EVENT ORGANIZATION OUTSIDE TRADE SHOWS AND FAIRS  </w:t>
        <w:br/>
        <w:t xml:space="preserve">41. National decision-making practice has not defined a geographic market for the market of event organization outside trade shows and fairs but has considered a market of national dimension in the context of organizing trade shows and fairs.  </w:t>
        <w:br/>
        <w:t xml:space="preserve">42. The Commission has considered a European dimension for the organization of events outside trade shows and fairs while leaving open the exact definition of geographic markets.  </w:t>
        <w:br/>
        <w:t xml:space="preserve">43. In any event, the question of the existence of the exact geographic delimitation of this market can be left open, insofar as, regardless of the segmentation retained, the conclusions of the competitive analysis remain unchanged.  </w:t>
        <w:br/>
        <w:t>44. In this case, as Gekko is active only in France, the analysis will be conducted on the national market, which constitutes the most conservative assumption.</w:t>
      </w:r>
    </w:p>
    <w:p>
      <w:r>
        <w:t xml:space="preserve">III. Competitive Analysis  </w:t>
        <w:br/>
        <w:t>45. The operation will generate horizontal overlaps in the markets of hotel intermediation and event organization outside trade shows and fairs (A), several vertical relationships between the parties' activities (B), and links of connectivity (C).</w:t>
      </w:r>
    </w:p>
    <w:p>
      <w:r>
        <w:t xml:space="preserve">A. ANALYSIS OF HORIZONTAL EFFECTS  </w:t>
        <w:br/>
        <w:t xml:space="preserve">46. In the downstream market of hotel intermediation, both parties offer booking solutions for overnight stays aimed at tourism professionals. In this market, regardless of the segmentations retained, the combined market share of the parties is below [10-20]%.  </w:t>
        <w:br/>
        <w:t xml:space="preserve">47. In the market for event organization outside trade shows and fairs, the market share of the new entity will be below [5-10]%.  </w:t>
        <w:br/>
        <w:t xml:space="preserve">48. Consequently, and in view notably of point 384 of the guidelines, the operation is not likely to harm competition through horizontal effects in the markets of hotel intermediation and event organization outside trade shows and fairs.  </w:t>
        <w:br/>
        <w:t>49. The target holds the Miles Attack loyalty program aimed at tourism professionals. This program allows them to earn points for each sale made for one of the program's partners (Hertz, MSC Cruises, TUI, Corsair, etc.). However, the existence of a leverage effect related to holding an incentive program can be ruled out insofar as the program's regulations specify that each partner sets the level of points awarded for the sale of its services and that, consequently, the new entity will not be able to set the reward scale to favor its own activities.</w:t>
      </w:r>
    </w:p>
    <w:p>
      <w:r>
        <w:rPr>
          <w:b/>
        </w:rPr>
        <w:t>[Pages 7–9]</w:t>
      </w:r>
    </w:p>
    <w:p>
      <w:r>
        <w:t xml:space="preserve">B. VERTICAL EFFECTS  </w:t>
        <w:br/>
        <w:t xml:space="preserve">41. A vertical concentration may restrict competition by making it more difficult for competitors to access the markets in which the new entity will be active, potentially even driving competitors out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42. However, decision-making practice generally considers that a risk of vertical effect can be ruled out as long as the market share of the company resulting from the operation in the relevant markets does not exceed 30%24.  </w:t>
        <w:br/>
        <w:t xml:space="preserve">43. In this case, given the activities carried out by the parties, the operation is likely to generate vertical effects (i) between the hotel services market and the hotel intermediation markets, (ii) between the hotel intermediation markets and the travel agency services markets, and (iii) between the hotel intermediation markets and the event organization markets outside trade shows and fairs.  </w:t>
        <w:br/>
        <w:t xml:space="preserve">44. In the hotel intermediation markets, travel agency services, and event organization services outside trade shows and fairs, the new entity will have a market share of less than 20%. Consequently, the operation is not likely to harm competition through vertical effects in these markets.  </w:t>
        <w:br/>
        <w:t xml:space="preserve">45. On the other hand, the new entity will have a market share of [40-50]% in the chain hotel market within the hotel services market. Accordingly, it is necessary to examine the capacity and incentives of the new entity to implement a locking of access to customers (1) or a locking of inputs (AccorHotels' hotel offering) (2).  </w:t>
        <w:br/>
        <w:t xml:space="preserve">1. LOCKING OF ACCESS TO CUSTOMERS  </w:t>
        <w:br/>
        <w:t xml:space="preserve">46. The new entity may wish to restrict AccorHotels' competitors' access to the hotel intermediation services offered by Gekko. AccorHotels' strong position in the chain hotel market could allow Gekko to no longer reference certain competitors of AccorHotels, as the hotel offering of the new entity would be sufficiently significant to replace part of the competing offering.  </w:t>
        <w:br/>
        <w:t xml:space="preserve">47. However, it appears that the new entity will have no incentive to implement such a customer locking strategy. Indeed, since AccorHotels accounts for only [5-10]% of the overnight stays marketed by Gekko, the new entity will have no incentive to delist AccorHotels' competitors for its hotel intermediation services, as the potential loss of revenue from such a strategy would be far too high.  </w:t>
        <w:br/>
        <w:t xml:space="preserve">48. Furthermore, the incentives of the new entity to implement a locking of access to customers are limited by the existence of several credible alternatives available to the competitors of the new entity. Indeed, the market share of the new entity in the national, European, and global intermediation markets will not exceed [20-30]% regardless of the segmentations retained. Thus, in the national hotel intermediation market limited to aggregators where the new entity will have a market share of [20-30]%, the new entity will face significant competing aggregators such as, upstream, HRS ([20-30]%) and BedsOnline ([30-40]%). Similarly, downstream, in the online distribution segment where the new entity will have a market share of less than 10%, it will face significant competitors such as HRS ([20-30]%) and Egencia ([40-50]%). Additionally, online travel agencies (Booking, Expedia, Carlson Wagonlit Travel, American Express Global Business Traveler), GDS (Amadeus, Sabre), and booking centers (HotelsBeds, JacTravel) also constitute competitors of the new entity in the hotel intermediation market. Finally, the European Commission has already recognized direct hotel distribution channels as alternatives in the event of locking25.  </w:t>
        <w:br/>
        <w:t xml:space="preserve">49. Therefore, the risk of locking access to customers can be ruled out.  </w:t>
        <w:br/>
        <w:t xml:space="preserve">2. LOCKING OF ACCESS TO INPUTS  </w:t>
        <w:br/>
        <w:t xml:space="preserve">50. The new entity could choose to offer AccorHotels' hotel portfolio only through the services of the new entity and thus restrict competitors' access to AccorHotels' hotel offering. The new entity will thus have a significant position in the chain hotel segment, giving it the ability to implement a locking of inputs. Indeed, it will have a market share of [20-30]% in the national hotel market (across all management modes) and [40-50]% in the national chain hotel market.  </w:t>
        <w:br/>
        <w:t xml:space="preserve">51. Despite this high market share, the incentives of the new entity to implement such a locking of access to inputs are limited.  </w:t>
        <w:br/>
        <w:t xml:space="preserve">52. First, competitors have credible alternatives in the integrated hotel market such as Louvre Hotels (market share: [10-20]%), B&amp;B Hotels ([5-10]%), and Best Western ([5-10]%). Furthermore, competitors also have independent hotels and voluntary chains as alternatives.  </w:t>
        <w:br/>
        <w:t xml:space="preserve">53. Additionally, Gekko's share of AccorHotels' revenue generated from professionals (players in hotel intermediation) is very limited, around [0-5]%, while [confidential] represents [10-20]% of this figure and [confidential] and [confidential] generate [10-20]% of this revenue, respectively. Moreover, AccorHotels generates approximately [confidential] of its revenue from professionals through competing hotel centers and aggregators of Gekko, such as CDS, HRS, GTA, and Hotelbeds. Thus, Gekko's marginal share in AccorHotels' revenue will limit the incentives to restrict access to inputs for competitors generating a significant share of the new entity's revenue.  </w:t>
        <w:br/>
        <w:t xml:space="preserve">54. Furthermore, the notifying party specifies that contracts concluded between an intermediary and a hotel group cover all countries where the intermediary is present. However, while Gekko conducts almost all of its business in France (market share in the European market: [0-5]%-[5-10]%), it faces international players such as Booking (market share in the European intermediation market: [10-20]%-[20-30]%), Expedia ([5-10]%-[10-20]%), and HotelBeds ([5-10]%-[10-20]%). Thus, the incentives to lock access to the hotel offering of the new entity are reduced as such locking could only have a positive effect on the national market at the risk of degrading AccorHotels' position in all international markets.  </w:t>
        <w:br/>
        <w:t xml:space="preserve">55. Finally, a strategy of locking inputs may not lead to an increase in the new entity's position in the hotel intermediation markets. Indeed, AccorHotels generated nearly [60-70]% of the "accommodation" revenue from all its hotels through various central distribution channels in 2015, including the accorhotels.com booking portal and its brand websites26. Thus, if AccorHotels ceased to reference the group's hotels to Gekko's competitors (B2C intermediaries), this would not mechanically lead to an increase in the new entity's market share in the hotel intermediation market. Indeed, customers (travel agencies and companies) could still access AccorHotels' offering through the group's direct distribution sites, and the locking could not have the desired effect.  </w:t>
        <w:br/>
        <w:t xml:space="preserve">56. Therefore, the risk of locking inputs can be ruled out.  </w:t>
        <w:br/>
        <w:t xml:space="preserve">57. Consequently, the operation is not likely to harm competition through vertical effects in these markets.  </w:t>
        <w:br/>
        <w:t xml:space="preserve">C. ANALYSIS OF CONGLOMERATE EFFECTS  </w:t>
        <w:br/>
        <w:t xml:space="preserve">58. A concentration may also lead to conglomerate effects when the new entity extends or strengthens its presence in markets that are related to other markets in which it holds market power. Some conglomerate concentrations can indeed produce restrictive competition effects when they allow the technical or commercial tying of the sales of the new entity's products in a way that locks the market and drives out competitors.  </w:t>
        <w:br/>
        <w:t xml:space="preserve">59. However, the guidelines of the Competition Authority note that it is unlikely that a concentration will lead to a risk of conglomerate effect if the new entity does not have a strong position in a market from which it can leverage. The guidelines refer, in this regard, to a threshold of 30% market share for assessing this market position27.  </w:t>
        <w:br/>
        <w:t xml:space="preserve">60. In this case, given the activities carried out by the parties, the operation is likely to generate conglomerate effects between the travel agency services markets (individuals and businesses) and the event organization markets outside trade shows and fairs. However, in these markets, the market share of the new entity will systematically be below 10%. Furthermore, the new entity will compete, in each of these markets, with numerous players: GL Events, Capdel, Ideal Meetings &amp; Events, AMT Organisation, Booking, Amex GBT, and CWT.  </w:t>
        <w:br/>
        <w:t xml:space="preserve">61. The operation is therefore not likely to harm competition through conglomerate effects.  </w:t>
        <w:br/>
        <w:t xml:space="preserve">26 Decision of the Competition Authority No. 15-D-06 of April 21, 2015, on the practices implemented by Booking.com B.V., Booking.com France SAS, and Booking.com Customer Service France SAS in the online hotel booking sector.  </w:t>
        <w:br/>
        <w:t>27 Guidelines of the Competition Authority regarding the control of concentrations, point 384.</w:t>
      </w:r>
    </w:p>
    <w:p>
      <w:r>
        <w:rPr>
          <w:b/>
        </w:rPr>
        <w:t>[Pages 10–10]</w:t>
      </w:r>
    </w:p>
    <w:p>
      <w:r>
        <w:t xml:space="preserve">DECIDES  </w:t>
        <w:br/>
        <w:t xml:space="preserve">Sole Article: The operation notified under number 17-224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