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https://www.autoritedelaconcurrence.fr/fr/decision-de-controle-des-concentrations/relative-la-prise-de-controle-exclusif-de-la-societe-gesdis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19-DCC-171 of September 9, 2019  </w:t>
        <w:br/>
        <w:t xml:space="preserve">regarding the exclusive control acquisition of the company Gesdis by the company  </w:t>
        <w:br/>
        <w:t xml:space="preserve">Franprix Leader Price Holding (Casino Group)  </w:t>
        <w:br/>
        <w:t xml:space="preserve">The Competition Authority,  </w:t>
        <w:br/>
        <w:t xml:space="preserve">Having regard to the notification file sent complete to the mergers department on August 19, 2019,  </w:t>
        <w:br/>
        <w:t xml:space="preserve">regarding the exclusive control acquisition of the company Gesdis by the company Franprix Leader Price  </w:t>
        <w:br/>
        <w:t xml:space="preserve">Holding, and materialized by a unilateral promise of sale of shares dated  </w:t>
        <w:br/>
        <w:t xml:space="preserve">November 4, 2015, an amendment to the promise of sale of shares dated June 27, 2019, and a  </w:t>
        <w:br/>
        <w:t xml:space="preserve">letter exercising the promise of sale dated July 23,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Franprix Leader Price  </w:t>
        <w:br/>
        <w:t xml:space="preserve">Holding of the company Gesdis, which operates three retail stores predominantly selling food under the  </w:t>
        <w:br/>
        <w:t xml:space="preserve">Casino Group brand, of supermarket type, with a surface area between 900 and 1,332 m², and located in  </w:t>
        <w:br/>
        <w:t xml:space="preserve">Île-de-France. It constitutes a concentration operation within the meaning of Article L. 430-1 of the  </w:t>
        <w:br/>
        <w:t xml:space="preserve">Commercial Code. Given the revenues generated by the companies concerned, the operation does not fall  </w:t>
        <w:br/>
        <w:t xml:space="preserve">within the competence of the European Union. On the other hand, the control thresholds related to retail  </w:t>
        <w:br/>
        <w:t xml:space="preserve">mentioned in point II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19-201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