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https://www.autoritedelaconcurrence.fr/fr/decision-de-controle-des-concentrations/relative-la-prise-de-controle-exclusif-de-la-societe-getac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21-DCC-41 of March 12, 2020  </w:t>
        <w:br/>
        <w:t xml:space="preserve">regarding the exclusive control acquisition of the company GETAC SAS by the  </w:t>
        <w:br/>
        <w:t xml:space="preserve">Delisle group  </w:t>
        <w:br/>
        <w:t xml:space="preserve">The Competition Authority,  </w:t>
        <w:br/>
        <w:t xml:space="preserve">Having regard to the complete notification file sent to the mergers department on February 24, 2021,  </w:t>
        <w:br/>
        <w:t xml:space="preserve">concerning the exclusive control acquisition of the company Groupe d’Entreprise de Transports  </w:t>
        <w:br/>
        <w:t xml:space="preserve">Alimentaire en Citerne SAS (hereinafter "GETAC" SAS) by the Delisle group, formalized by  </w:t>
        <w:br/>
        <w:t xml:space="preserve">a share transfer agreement dated September 30,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GETAC, active in  </w:t>
        <w:br/>
        <w:t xml:space="preserve">the road transport of goods sector, by the Delisle group, which is also active in this  </w:t>
        <w:br/>
        <w:t xml:space="preserve">same sector.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However, the thresholds for  </w:t>
        <w:br/>
        <w:t xml:space="preserve">control mentioned in point 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20-226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