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https://www.autoritedelaconcurrence.fr/fr/decision-de-controle-des-concentrations/relative-la-prise-de-controle-exclusif-de-la-societe-gf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21-DCC-80 of May 19, 2021  </w:t>
        <w:br/>
        <w:t xml:space="preserve">regarding the exclusive control acquisition of the company GF Expansion by  </w:t>
        <w:br/>
        <w:t xml:space="preserve">the company Groupe Guillin  </w:t>
        <w:br/>
        <w:t xml:space="preserve">The Competition Authority,  </w:t>
        <w:br/>
        <w:t xml:space="preserve">Having regard to the complete notification file sent to the mergers department on April 19, 2021  </w:t>
        <w:br/>
        <w:t xml:space="preserve">concerning the exclusive control acquisition of the company GF Expansion by the company Groupe Guillin,  </w:t>
        <w:br/>
        <w:t xml:space="preserve">formalized by a transfer promise dated March 10,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Groupe Guillin SA,  </w:t>
        <w:br/>
        <w:t xml:space="preserve">via its subsidiary the company Alterecopack, of the company GF Expansion and its subsidiaries, active in  </w:t>
        <w:br/>
        <w:t xml:space="preserve">the food packaging sector.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21-060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