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https://www.autoritedelaconcurrence.fr/fr/decision-de-controle-des-concentrations/relative-la-prise-de-controle-exclusif-de-la-societe-gfnt</w:t>
      </w:r>
    </w:p>
    <w:p>
      <w:r>
        <w:t>Pages translated : 2</w:t>
      </w:r>
    </w:p>
    <w:p/>
    <w:p>
      <w:r>
        <w:rPr>
          <w:b/>
        </w:rPr>
        <w:t>[Pages 1–2]</w:t>
      </w:r>
    </w:p>
    <w:p>
      <w:r>
        <w:t xml:space="preserve">FRENCH REPUBLIC  </w:t>
        <w:br/>
        <w:t xml:space="preserve">Decision No. 18-DCC-168 of October 15, 2018  </w:t>
        <w:br/>
        <w:t xml:space="preserve">regarding the exclusive control acquisition of the company GFNT Développement SAS by the company Team Colin SAS  </w:t>
        <w:br/>
        <w:t xml:space="preserve">The Competition Authority,  </w:t>
        <w:br/>
        <w:t xml:space="preserve">Having regard to the complete notification file submitted to the mergers department on September 14, 2018, concerning the exclusive control acquisition of the company GFNT Développement SAS by the company Team Colin SAS, and formalized by a share transfer agreement dated September 6, 2018;  </w:t>
        <w:br/>
        <w:t xml:space="preserve">Having regard to Book IV of the Commercial Code relating to the freedom of prices and competition, and in particular its Articles L. 430-1 to L. 430-7;  </w:t>
        <w:br/>
        <w:t xml:space="preserve">Having regard to the elements provided during the investigation by the notifying party;  </w:t>
        <w:br/>
        <w:t xml:space="preserve">Adopts the following decision:  </w:t>
        <w:br/>
        <w:t xml:space="preserve">1. The notified operation consists of the exclusive control acquisition by the company Team Colin SAS of the company GFNT Développement SAS, which operates, through its three subsidiaries, two automotive concessions of the brands Toyota and Lexus located in the departments of Seine-et-Marne (77) and Seine-Saint-Denis (93) and a vehicle rental activity in the department of Seine-et-Marne (77). It constitutes a concentration operation within the meaning of Article L. 430-1 of the Commercial Code. Given the turnover achieved by the companies concerned, the operation does not fall under the jurisdiction of the European Union. However, the retail trade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18-206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