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https://www.autoritedelaconcurrence.fr/fr/decision-de-controle-des-concentrations/relative-la-prise-de-controle-exclusif-de-la-societe-gpa</w:t>
      </w:r>
    </w:p>
    <w:p>
      <w:r>
        <w:t>Pages translated : 5</w:t>
      </w:r>
    </w:p>
    <w:p/>
    <w:p>
      <w:r>
        <w:rPr>
          <w:b/>
        </w:rPr>
        <w:t>[Pages 1–3]</w:t>
      </w:r>
    </w:p>
    <w:p>
      <w:r>
        <w:t>FRENCH REPUBLIC</w:t>
        <w:br/>
        <w:t>Decision No. 15-DCC-47 of May 5, 2015</w:t>
        <w:br/>
        <w:t>regarding the exclusive control of the company GPA Courtepaille</w:t>
        <w:br/>
        <w:t>by the company ICG</w:t>
        <w:br/>
        <w:t>The Competition Authority,</w:t>
        <w:br/>
        <w:t>Having regard to the notification file submitted in full to the merger service on April 1, 2015,</w:t>
        <w:br/>
        <w:t>regarding the exclusive control of the company GPA Courtepaille SAS (hereinafter, "GPA</w:t>
        <w:br/>
        <w:t>Courtepaille") by the company Intermediate Capital Group PLC (hereinafter, "ICG"), formalized</w:t>
        <w:br/>
        <w:t>by the notifications of the realization of securities concluded between ICG and the direct and</w:t>
        <w:br/>
        <w:t>indirect shareholders of GPA Courtepaille dated April 7, 2015;</w:t>
        <w:br/>
        <w:t>Having regard to Book IV of the Commercial Code relating to the freedom of prices and competition, and</w:t>
        <w:br/>
        <w:t>notably its Articles L. 430-1 to L. 430-7;</w:t>
        <w:br/>
        <w:t>Having regard to the additional elements submitted by the parties during the investigation;</w:t>
        <w:br/>
        <w:t>Adopts the following decision:</w:t>
        <w:br/>
        <w:t>I. The concerned companies and the operation</w:t>
        <w:br/>
        <w:t>1. ICG is a British private equity company, whose capital is held by private investors and none of whom exercises a determining influence. It currently has approximately 300 investments under management, representing over 13 billion euros invested. It controls several companies active in various sectors, including electronic components (APEM), tourism (ATPI), the operation of healthcare establishments (Cura), commercial catering (Gaucho, Westbury Street Holding), food (Euro Cater), and the manufacturing of prepared meals (Symington’s). The companies controlled by ICG and active in the sectors of commercial catering, food, and prepared meal manufacturing do not operate in France.</w:t>
        <w:br/>
        <w:t>2. GPA Courtepaille, the parent holding company of the Courtepaille group, is controlled by CTP Investissement SARL (hereinafter, "CTP Investissement"), a wholly-owned subsidiary of the company Fondations Capital I SCA SICAR (hereinafter, "Fondations Capital"), which holds 52.85% of the capital of GPA Courtepaille. The Courtepaille group is active in the sectors of commercial catering and highway catering through a chain of restaurants specializing in grilled meats. Courtepaille operates a network of approximately 250 restaurants located in France, around major cities and along main road and highway routes.</w:t>
        <w:br/>
        <w:t>3. The notified operation consists of the acquisition of the majority of the capital and voting rights of GPA Courtepaille by ICG through the execution of several pledges. These pledges were granted by the shareholders of GPA Courtepaille to ICG.</w:t>
        <w:br/>
        <w:t>4. In 2011, the investment fund Fondations Capital acquired, through the company GPA Courtepaille, the exclusive control of the Courtepaille group. To finance this acquisition, GPA Courtepaille borrowed, along with its subsidiaries, a total amount of nearly 160 million euros from ICG. To guarantee the repayment of this loan, the shareholders of GPA Courtepaille granted ICG several securities. First, the company Fondations Capital pledged, under Luxembourg law, all the shares and debt securities it holds in CTP Investissement for the benefit of ICG. Secondly, the main direct shareholders of GPA Courtepaille, holding together the remainder of the capital, each granted ICG a guarantee under which they committed to pay, in proportion to their participation, an amount corresponding to a portion of the loans taken out by the group from ICG in certain cases of default provided for contractually. As security for these commitments, each of these shareholders pledged, under French law, the shares and debt securities they hold in GPA Courtepaille for the benefit of ICG.</w:t>
        <w:br/>
        <w:t>5. On December 31, 2014, the Courtepaille group's debt ratio to its operating income reached the alert level provided for contractually, allowing ICG to exercise the securities granted to it. The realization of the pledge granted by Fondations Capital, which confers to ICG ownership of all the shares of CTP Investissement, alone allows ICG to exert a determining influence on GPA Courtepaille. Indeed, the articles of association of GPA Courtepaille provide that CTP Investissement is, in all circumstances, in the majority within the Supervisory Board. Consequently, by acquiring exclusive control of CTP Investissement through the realization of the first pledge, ICG takes exclusive control of GPA Courtepaille. The notified operation thus constitutes a concentration within the meaning of Article L. 430-1 of the Commercial Code.</w:t>
        <w:br/>
        <w:t>6. ICG, which notified the present operation on April 1, 2015, requested a waiver of the suspensive effect of merger control under the second paragraph of Article L. 430-4 of the Commercial Code. The request was justified by the need to quickly provide financing to maintain the activity of GPA Courtepaille [confidential]. Furthermore, the realization of part of the pledges being immediate under Luxembourg law, the realization of the pledges, necessary for the refinancing of the Courtepaille group's activity, would, in the absence of a waiver, have violated the provisions of the first paragraph of Article L. 430-4 of the Commercial Code. The waiver was granted on April 3, 2015. However, it was granted solely under the provisions of the Commercial Code relating to economic concentration, without prejudice to the rights of the shareholders of the Courtepaille group, and notably to the assessment of the competent judges in the event of a dispute regarding the conditions for the realization of the pledges.</w:t>
        <w:br/>
        <w:t>1 See the decision of the Competition Authority No. 11-DCC-19 of February 7, 2011, regarding the exclusive control of the company Financière CP and its subsidiaries by the company Fondations Capital I SCA SICAR.</w:t>
      </w:r>
    </w:p>
    <w:p>
      <w:r>
        <w:t>7. On April 24, 2015, the Authority received observations from a third party to the transaction. This party notes that the regularity of the realization of the pledges is contested before the Luxembourg and French courts. According to this operator, the notified transaction would therefore not fall within the scope of Articles L. 430-1 and L.430-2 of the Commercial Code, due to the lack of a "sufficiently advanced project" within the meaning of Article L. 430-3, given the uncertainty surrounding the effective realization of the transaction in light of the pending appeals.</w:t>
        <w:br/>
        <w:t>8. The guidelines of the Competition Authority regarding merger control note that "the assessment of whether a project is 'sufficiently advanced' is made on a case-by-case basis. Generally, it is possible to accept a project if the notifying parties assure the Authority of their intention to conclude a firm commitment and provide proof of it, indicate the object and terms of the contemplated concentration, the identity of the parties to the transaction, the scope of the concentration, and the projected timeline."</w:t>
        <w:br/>
        <w:t>9. It appears from the elements in the file that the realization of the pledges was notified by ICG to CTP Investissement on April 7, 2015. The realization of the pledges being of a nature to materialize the exclusive control of GPA Courtepaille by ICG, their notification constitutes a "sufficiently advanced project" within the meaning of Article L. 430-3 of the Commercial Code insofar as it demonstrates the firm commitment of the notifying party to proceed with the transaction by identifying its object, target, and terms, notwithstanding the challenge to their legality before the competent courts. Moreover, this decision, taken on the basis of Article L. 430-5 of the Commercial Code, is without prejudice to the realization of the transaction and does not prejudge in any way the outcome of the ongoing judicial and extrajudicial procedures.</w:t>
        <w:br/>
        <w:t>10. The concerned companies together achieved a consolidated turnover excluding taxes on a global scale of more than 150 million euros in the last closed financial year (ICG: […] euros for the financial year ending December 31, 2014; GPA Courtepaille: […] euros for the financial year ending December 31, 2013). Each of these companies achieved, in France, a turnover exceeding 50 million euros (ICG: […] euros for the financial year ending December 31, 2014; GPA Courtepaille: […] euros for the financial year ending December 31, 2013). Given these turnover figures,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II. Delimitation of the relevant markets</w:t>
        <w:br/>
        <w:t>11. The Courtepaille group is active in the markets of commercial catering and highway catering.</w:t>
      </w:r>
    </w:p>
    <w:p>
      <w:r>
        <w:rPr>
          <w:b/>
        </w:rPr>
        <w:t>[Pages 4–5]</w:t>
      </w:r>
    </w:p>
    <w:p>
      <w:r>
        <w:t>A. THE COMMERCIAL CATERING MARKET</w:t>
        <w:br/>
        <w:t>12. Within commercial catering, decision-making practice distinguishes between the market for low-cost fast food (which includes fast-food outlets, self-service, and take-away/home delivery) and that of more sophisticated catering, including, notably, table service. In this case, the Courtepaille group is active in the commercial catering market "excluding fast food." Regarding the geographical delimitation, national competition authorities have observed that competition in the commercial catering market takes place in local catchment areas.</w:t>
      </w:r>
    </w:p>
    <w:p>
      <w:r>
        <w:t>13. There is no need to challenge the delimitations considered by decision-making practice in the context of the examination of the present transaction.</w:t>
      </w:r>
    </w:p>
    <w:p>
      <w:r>
        <w:t>B. THE HIGHWAY CATERING MARKET</w:t>
        <w:br/>
        <w:t>14. Decision-making practice distinguishes highway catering from traditional catering due to the specificity and captive nature of the highway clientele. Within this market, decision-making practice distinguishes three product markets: catering stricto sensu (including table service or self-service), light catering services (snack bars and pastry shops), and sales of food products (through shops, vending machines, picnic operations, and take-away sales). In this case, the Courtepaille group is active in the highway catering market stricto sensu. Regarding the geographical delimitation, competition authorities have retained a national dimension.</w:t>
      </w:r>
    </w:p>
    <w:p>
      <w:r>
        <w:t>15. There is no need to challenge the delimitations considered by decision-making practice in the context of the present decision.</w:t>
      </w:r>
    </w:p>
    <w:p>
      <w:r>
        <w:t>III. COMPETITIVE ANALYSIS</w:t>
        <w:br/>
        <w:t>16. The Courtepaille group is only active in France, while the companies controlled by ICG and active in the commercial catering market operate in foreign countries. Therefore, ICG and Courtepaille are not present in the same geographical markets, which excludes any horizontal overlap between the activities of the parties.</w:t>
      </w:r>
    </w:p>
    <w:p>
      <w:r>
        <w:t>17. Furthermore, none of the companies controlled by ICG are active in a market located upstream or downstream or having links of connectivity with the markets in which Courtepaille operates.</w:t>
      </w:r>
    </w:p>
    <w:p>
      <w:r>
        <w:t>18. Given all these elements, the transaction is not likely to harm competition in the relevant markets.</w:t>
      </w:r>
    </w:p>
    <w:p>
      <w:r>
        <w:t>DECIDES</w:t>
        <w:br/>
        <w:t>Sole Article: The notified transaction under number 15-027 is authorized.</w:t>
        <w:br/>
        <w:t>The Vice-President,</w:t>
        <w:br/>
        <w:t>Thierry Dahan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