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https://www.autoritedelaconcurrence.fr/fr/decision-de-controle-des-concentrations/relative-la-prise-de-controle-exclusif-de-la-societe-grand</w:t>
      </w:r>
    </w:p>
    <w:p>
      <w:r>
        <w:t>Pages translated : 2</w:t>
      </w:r>
    </w:p>
    <w:p/>
    <w:p>
      <w:r>
        <w:rPr>
          <w:b/>
        </w:rPr>
        <w:t>[Pages 1–2]</w:t>
      </w:r>
    </w:p>
    <w:p>
      <w:r>
        <w:t xml:space="preserve">FRENCH REPUBLIC  </w:t>
        <w:br/>
        <w:t xml:space="preserve">Decision No. 14-DCC-178 of November 27, 2014  </w:t>
        <w:br/>
        <w:t>regarding the exclusive control acquisition of the company Grand Garage de Corsac by the ECL group</w:t>
      </w:r>
    </w:p>
    <w:p>
      <w:r>
        <w:t>The Competition Authority,</w:t>
      </w:r>
    </w:p>
    <w:p>
      <w:r>
        <w:t>Having regard to the complete notification file sent to the mergers department on October 24, 2014, concerning the exclusive control acquisition of the company Grand Garage de Corsac by the ECL group, and formalized by the share transfer agreement dated October 21, 2014;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Grand Garage de Corsac, operating a Peugeot brand business in the department of Haute Loire (43), by the ECL group, which is itself active in the distribution of Peugeot brand vehicles in the departments of Alpes-de-Haute-Provence (04), Hautes-Alpes (05), Ardèche (07), Aude (10), Côte-d’Or (21), Doubs (25), Drôme (26), Jura (39), Haute Marne (52), and Vaucluse (84). It constitutes a concentration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 xml:space="preserve">DECIDES  </w:t>
        <w:br/>
        <w:t xml:space="preserve">Sole Article: The operation notified under number 14-190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