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https://www.autoritedelaconcurrence.fr/fr/decision-de-controle-des-concentrations/relative-la-prise-de-controle-exclusif-de-la-societe-grands</w:t>
      </w:r>
    </w:p>
    <w:p>
      <w:r>
        <w:t>Pages translated : 2</w:t>
      </w:r>
    </w:p>
    <w:p/>
    <w:p>
      <w:r>
        <w:rPr>
          <w:b/>
        </w:rPr>
        <w:t>[Pages 1–2]</w:t>
      </w:r>
    </w:p>
    <w:p>
      <w:r>
        <w:t xml:space="preserve">FRENCH REPUBLIC  </w:t>
        <w:br/>
        <w:t xml:space="preserve">Decision No. 22-DCC-141 of July 27, 2022  </w:t>
        <w:br/>
        <w:t xml:space="preserve">regarding the exclusive control acquisition of the company Grands Garages Pyrénéens by the Tressol Chabrier group  </w:t>
        <w:br/>
        <w:t xml:space="preserve">The Competition Authority,  </w:t>
        <w:br/>
        <w:t xml:space="preserve">Having regard to the complete notification file submitted to the mergers department on July 5, 2022, concerning the exclusive control acquisition of the company Grands Garages Pyrénéens by the company N.D.K, parent company of the Tressol Chabrier group, formalized by an agreement dated June 8,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N.D.K., parent company of the Tressol Chabrier group, of the company Grands Garages Pyrénéens, which operates a car dealership under the Peugeot brand located in Perpignan (66).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21-302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