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https://www.autoritedelaconcurrence.fr/fr/decision-de-controle-des-concentrations/relative-la-prise-de-controle-exclusif-de-la-societe-grau</w:t>
      </w:r>
    </w:p>
    <w:p>
      <w:r>
        <w:t>Pages translated : 2</w:t>
      </w:r>
    </w:p>
    <w:p/>
    <w:p>
      <w:r>
        <w:rPr>
          <w:b/>
        </w:rPr>
        <w:t>[Pages 1–2]</w:t>
      </w:r>
    </w:p>
    <w:p>
      <w:r>
        <w:t xml:space="preserve">REPUBLIC OF FRANCE  </w:t>
        <w:br/>
        <w:t xml:space="preserve">Decision No. 18-DCC-233 of December 26, 2018  </w:t>
        <w:br/>
        <w:t xml:space="preserve">regarding the acquisition of exclusive control of the company Grau by the company  </w:t>
        <w:br/>
        <w:t xml:space="preserve">Sonoma Animation et Gestion (Mounès group)  </w:t>
        <w:br/>
        <w:t xml:space="preserve">The Competition Authority,  </w:t>
        <w:br/>
        <w:t xml:space="preserve">Having regard to the complete notification file submitted to the mergers department on December 4, 2018,  </w:t>
        <w:br/>
        <w:t xml:space="preserve">concerning the acquisition of exclusive control of the company Grau by the company Sonoma Animation et  </w:t>
        <w:br/>
        <w:t xml:space="preserve">Gestion, formalized by a letter of intent to purchase shares dated October 21, 2018;  </w:t>
        <w:br/>
        <w:t xml:space="preserve">Having regard to Book IV of the Commercial Code relating to the freedom of prices and competition, and  </w:t>
        <w:br/>
        <w:t xml:space="preserve">notably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by the company Sonoma of the  </w:t>
        <w:br/>
        <w:t xml:space="preserve">company Grau, which operates four concession and agency sites for Citroën and DS automobile brands in the department of Ariège (09).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18-284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