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https://www.autoritedelaconcurrence.fr/fr/decision-de-controle-des-concentrations/relative-la-prise-de-controle-exclusif-de-la-societe-groupe</w:t>
      </w:r>
    </w:p>
    <w:p>
      <w:r>
        <w:t>Pages translated : 2</w:t>
      </w:r>
    </w:p>
    <w:p/>
    <w:p>
      <w:r>
        <w:rPr>
          <w:b/>
        </w:rPr>
        <w:t>[Pages 1–2]</w:t>
      </w:r>
    </w:p>
    <w:p>
      <w:r>
        <w:t xml:space="preserve">FRENCH REPUBLIC  </w:t>
        <w:br/>
        <w:t xml:space="preserve">Decision No. 11-DCC-06 of January 28, 2011  </w:t>
        <w:br/>
        <w:t xml:space="preserve">regarding the exclusive control acquisition of the company Groupe MC Finance by the company Etoile 90 Holding  </w:t>
        <w:br/>
        <w:t xml:space="preserve">The Competition Authority,  </w:t>
        <w:br/>
        <w:t xml:space="preserve">Having regard to the complete notification file submitted to the mergers department on December 30, 2010, concerning the acquisition of control of the company Groupe MC Finance by the company Etoile 90 Holding formalized by a share transfer agreement dated December 18, 2010;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MC Finance by the company Etoile 90 Holding and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10-0245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