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https://www.autoritedelaconcurrence.fr/fr/decision-de-controle-des-concentrations/relative-la-prise-de-controle-exclusif-de-la-societe-guisa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19-DCC-252 of December 13, 2019  </w:t>
        <w:br/>
        <w:t xml:space="preserve">regarding the exclusive control acquisition of the company Guisa by the company  </w:t>
        <w:br/>
        <w:t xml:space="preserve">ITM Alimentaire Nord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20, 2019, concerning the exclusive control acquisition by the company ITM Alimentaire Nord  </w:t>
        <w:br/>
        <w:t xml:space="preserve">of the company Guisa, formalized by a letter of intent dated November 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Nord of the company Guisa, which operates a retail outlet with a food focus of the hypermarket type  </w:t>
        <w:br/>
        <w:t xml:space="preserve">under the Intermarché brand, with a surface area of 2,875 m², located in Guise (02).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19-313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