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https://www.autoritedelaconcurrence.fr/fr/decision-de-controle-des-concentrations/relative-la-prise-de-controle-exclusif-de-la-societe-h2</w:t>
      </w:r>
    </w:p>
    <w:p>
      <w:r>
        <w:t>Pages translated : 3</w:t>
      </w:r>
    </w:p>
    <w:p/>
    <w:p>
      <w:r>
        <w:rPr>
          <w:b/>
        </w:rPr>
        <w:t>[Pages 1–3]</w:t>
      </w:r>
    </w:p>
    <w:p>
      <w:r>
        <w:t xml:space="preserve">FRENCH REPUBLIC  </w:t>
        <w:br/>
        <w:t xml:space="preserve">Decision No. 10-DCC-46 of May 25, 2010  </w:t>
        <w:br/>
        <w:t xml:space="preserve">regarding the exclusive control of H2 Participations  </w:t>
        <w:br/>
        <w:t xml:space="preserve">by Deutsche Beteiligungs AG  </w:t>
        <w:br/>
        <w:t xml:space="preserve">The Competition Authority,  </w:t>
        <w:br/>
        <w:t xml:space="preserve">Having regard to the notification file sent to the merger service on April 30, 2010, declared complete on May 19, 2010, concerning the acquisition of H2 Participations by Deutsche Beteiligungs AG, formalized by a takeover offer from Deutsche Beteiligungs AG dated December 7, 2009, accepted by H2 Participations on December 21, 2009;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Deutsche Beteiligungs AG (hereinafter "DBAG") is a management company dedicated to acquiring stakes in companies through mutual funds. It is 10.6% owned by Mr. Dirk Rossman, with the remaining shares dispersed among individuals and institutional investors, each holding at most 3% of the capital. In 2008, DBAG's consolidated worldwide revenue, excluding taxes, through the stakes held in all the funds it manages, amounted to €3.3 billion, of which €135 million was in France.  </w:t>
        <w:br/>
        <w:t xml:space="preserve">2. H2 Participations is a holding company that groups together 25 regional SMEs engaged in the supply of non-food consumer goods to French food retail and "non-food discount" stores. In 2008, H2 Participations' consolidated worldwide revenue, excluding taxes, amounted to €123 million, of which €117 million was in France.  </w:t>
        <w:br/>
        <w:t>3. The parties will create, as investment vehicles for the needs of the operation, the companies Newco (named Financière FDG after the operation) and Weigelia International (named FDG Holding after the operation).</w:t>
      </w:r>
    </w:p>
    <w:p>
      <w:r>
        <w:t xml:space="preserve">4. According to the draft shareholders' agreement submitted by the parties as well as the draft articles of association, Weigelia International will be 99% owned by four funds managed by DBAG (DBAG Fund V International GmbH &amp; Co. KG, DBAG Fund V GmbH &amp; Co. KG, DBAG Fund V Konzern GmbH &amp; Co. KG, and DBAG Fund V Co-Investorl GmbH &amp; Co. KG), with the remaining 1% held by individuals who will not have rights exceeding those normally granted to minority shareholders to protect their financial interests. Weigelia International will hold 80.4% of Newco, with the remaining 19.4% held by the current and future management team of the H2 Participations group, grouped within a holding company at 19.11% and by Mr. Gérard Meunier at 0.48%. It follows from the draft articles of association of Newco and the draft shareholders' agreement that regarding the Supervisory Board, two members will be appointed by Weigelia and one member will be appointed by the holding company of the executives of H2 Participations, with decisions being made by simple majority. Regarding the Management Board, the 2 members will be appointed by the Supervisory Board. Furthermore, the draft shareholders' agreement submitted by the parties will not grant shareholders other than Weigelia rights exceeding those normally granted to minority shareholders to protect their financial interests. It follows from the above that DBAG, through Weigelia, will exercise exclusive control over Newco.  </w:t>
        <w:br/>
        <w:t xml:space="preserve">5. The operation, formalized by an offer from DBAG dated December 7, 2009, accepted by the partners of H2 Participations on December 21, 2009, consists of the acquisition by Weigelia, which will be replaced by Newco on the date of completion of the operation, of 100% of the shares of H2 Participations.  </w:t>
        <w:br/>
        <w:t xml:space="preserve">6. Insofar as it results, in light of the preceding elements, in the exclusive control of the H2 Participations group by DBAG, the notified project constitutes a concentration within the meaning of Article L. 430-1 of the Commercial Code. Given the revenues of the companies concerned, it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II. Competitive analysis  </w:t>
        <w:br/>
        <w:t xml:space="preserve">7. H2 Participations is present through its twenty-five subsidiaries in the markets for the supply and marketing of non-food consumer goods (leather goods and travel items, household equipment, cleaning products, hardware-DIY-painting, perfumery and hygiene products, books-newspapers-stationery, games and toys) to French food retail and "non-food discount" stores. It is also present in the markets for the manufacture of hairdressing and manicure accessories.  </w:t>
        <w:br/>
        <w:t xml:space="preserve">8. DBAG is not active in the markets where H2 Participations is present, nor in an upstream, downstream, or related market.  </w:t>
        <w:br/>
        <w:t>9. Consequently, this operation is not likely to harm competition.</w:t>
      </w:r>
    </w:p>
    <w:p>
      <w:r>
        <w:t xml:space="preserve">DECIDES  </w:t>
        <w:br/>
        <w:t xml:space="preserve">Sole Article: The operation notified under number 10-0025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