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https://www.autoritedelaconcurrence.fr/fr/decision-de-controle-des-concentrations/relative-la-prise-de-controle-exclusif-de-la-societe-hapos</w:t>
      </w:r>
    </w:p>
    <w:p>
      <w:r>
        <w:t>Pages translated : 2</w:t>
      </w:r>
    </w:p>
    <w:p/>
    <w:p>
      <w:r>
        <w:rPr>
          <w:b/>
        </w:rPr>
        <w:t>[Pages 1–2]</w:t>
      </w:r>
    </w:p>
    <w:p>
      <w:r>
        <w:t xml:space="preserve">FRENCH REPUBLIC  </w:t>
        <w:br/>
        <w:t xml:space="preserve">Decision No. 21-DCC-56 of April 6, 2021  </w:t>
        <w:br/>
        <w:t xml:space="preserve">regarding the exclusive control acquisition of the company Hapos by the company  </w:t>
        <w:br/>
        <w:t xml:space="preserve">Groupe JM  </w:t>
        <w:br/>
        <w:t xml:space="preserve">The Competition Authority,  </w:t>
        <w:br/>
        <w:t xml:space="preserve">Having regard to the complete notification file sent to the mergers department on March 9, 2021  </w:t>
        <w:br/>
        <w:t xml:space="preserve">concerning the exclusive control acquisition of the company Hapos by the company Groupe JM, formalized  </w:t>
        <w:br/>
        <w:t xml:space="preserve">by an asset transfer agreement dated March 5,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Groupe JM, via its  </w:t>
        <w:br/>
        <w:t xml:space="preserve">subsidiary, the company Triangle Interim Solutions, of the company Hapos, holding of the Groupe Régional  </w:t>
        <w:br/>
        <w:t xml:space="preserve">Intérim, active in the sector of providing temporary work services to businesses. It constitutes a concentration operation within the meaning of Article L. 430-1 of the  </w:t>
        <w:br/>
        <w:t xml:space="preserve">Commercial Code. Given the turnover achieved by the companies concerned, the operation does not fall under the jurisdiction of the European Union. On the other hand, the control thresholds mentioned in point I of Article L. 430-2 of the Commercial Code are exceeded. The  </w:t>
        <w:br/>
        <w:t xml:space="preserve">present operation is therefore subject to the provisions of Articles L. 430-3 and following of the Commercial  </w:t>
        <w:br/>
        <w:t xml:space="preserve">Code relating to economic concentration.  </w:t>
        <w:br/>
        <w:t>2. In light of the elements of the file, the operation is not likely to harm competition in the relevant markets.</w:t>
      </w:r>
    </w:p>
    <w:p>
      <w:r>
        <w:t xml:space="preserve">DECIDES  </w:t>
        <w:br/>
        <w:t xml:space="preserve">Sole Article: The operation notified under number 21-038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