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https://www.autoritedelaconcurrence.fr/fr/decision-de-controle-des-concentrations/relative-la-prise-de-controle-exclusif-de-la-societe-hardis</w:t>
      </w:r>
    </w:p>
    <w:p>
      <w:r>
        <w:t>Pages translated : 2</w:t>
      </w:r>
    </w:p>
    <w:p/>
    <w:p>
      <w:r>
        <w:rPr>
          <w:b/>
        </w:rPr>
        <w:t>[Pages 1–2]</w:t>
      </w:r>
    </w:p>
    <w:p>
      <w:r>
        <w:t xml:space="preserve">FRENCH REPUBLIC  </w:t>
        <w:br/>
        <w:t xml:space="preserve">Decision No. 19-DCC-37 of March 7, 2019  </w:t>
        <w:br/>
        <w:t xml:space="preserve">regarding the exclusive control acquisition of the company Hardis by the  </w:t>
        <w:br/>
        <w:t xml:space="preserve">Crédit Mutuel group  </w:t>
        <w:br/>
        <w:t xml:space="preserve">The Competition Authority,  </w:t>
        <w:br/>
        <w:t xml:space="preserve">Having regard to the complete notification file sent to the mergers department on February 11, 2019,  </w:t>
        <w:br/>
        <w:t xml:space="preserve">concerning the exclusive control acquisition of the company Hardis by the Crédit Mutuel group, and  </w:t>
        <w:br/>
        <w:t xml:space="preserve">formalized by a transfer protocol dated February 8,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Hardis by the Crédit  </w:t>
        <w:br/>
        <w:t xml:space="preserve">Mutuel group, via its subsidiary CM-CIC Investissement SCR. It constitutes a concentration operation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2. The market concerned by the operation is the market for IT services, which is consistently defined by the decision-making practice of the Competition Authority.  </w:t>
        <w:br/>
        <w:t xml:space="preserve">3. Regardless of the segmentations considered,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18-293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