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https://www.autoritedelaconcurrence.fr/fr/decision-de-controle-des-concentrations/relative-la-prise-de-controle-exclusif-de-la-societe-hdriv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13-DCC-03 of January 8, 2013  </w:t>
        <w:br/>
        <w:t xml:space="preserve">regarding the exclusive control acquisition of the company HDRIV  </w:t>
        <w:br/>
        <w:t xml:space="preserve">by Franprix Leader Price Holding (Casino Group)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7, 2012, concerning the acquisition of the company HDRIV by Franprix Leader Price  </w:t>
        <w:br/>
        <w:t xml:space="preserve">Holding (Casino Group), materialized by a transfer protocol dated November 21,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HDRIV, operating  </w:t>
        <w:br/>
        <w:t xml:space="preserve">five retail businesses predominantly in the food sector under the brands Franprix  </w:t>
        <w:br/>
        <w:t xml:space="preserve">and Leader Price, by the company Franprix Leader Price Holding (Casino Group). It constitutes  </w:t>
        <w:br/>
        <w:t xml:space="preserve">a concentration operation within the meaning of Article L. 430-1 of the Commercial Code.  </w:t>
        <w:br/>
        <w:t xml:space="preserve">The operation concerns five points of sale located in Angers (49), Cholet (49), Distre (49),  </w:t>
        <w:br/>
        <w:t xml:space="preserve">Château d’Olonne (85), and Sannois (95). Given the turnover achieved by the  </w:t>
        <w:br/>
        <w:t xml:space="preserve">concerned companies, the operation does not have a community dimension. On the other hand,  </w:t>
        <w:br/>
        <w:t xml:space="preserve">the control thresholds related to retail trade mentioned in point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12-206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