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https://www.autoritedelaconcurrence.fr/fr/decision-de-controle-des-concentrations/relative-la-prise-de-controle-exclusif-de-la-societe-heli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22-DCC-148 of August 9, 2022  </w:t>
        <w:br/>
        <w:t xml:space="preserve">regarding the exclusive control acquisition of the company Héli-Union by the  </w:t>
        <w:br/>
        <w:t xml:space="preserve">company Sabena technics  </w:t>
        <w:br/>
        <w:t xml:space="preserve">The Competition Authority,  </w:t>
        <w:br/>
        <w:t xml:space="preserve">Having regard to the complete notification file sent to the mergers department on July 18, 2022,  </w:t>
        <w:br/>
        <w:t xml:space="preserve">concerning the exclusive control acquisition of the company Héli-Union by the company Sabena technics,  </w:t>
        <w:br/>
        <w:t xml:space="preserve">formalized by a unilateral purchase promise dated May 25,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Sabena technics,  </w:t>
        <w:br/>
        <w:t xml:space="preserve">primarily active in the sector of providing maintenance, repair, and overhaul services for aircraft, of the company Héli-Union, primarily active in the sector of providing product support services and maintenance, repair, and overhaul services for helicopters. It constitutes a concentration operation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22-140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