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https://www.autoritedelaconcurrence.fr/fr/decision-de-controle-des-concentrations/relative-la-prise-de-controle-exclusif-de-la-societe-home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19-DCC-144 of July 23, 2019  </w:t>
        <w:br/>
        <w:t xml:space="preserve">regarding the exclusive control acquisition of the company Home &amp; Furnitures  </w:t>
        <w:br/>
        <w:t xml:space="preserve">by the company Aquinos Group SGPS  </w:t>
        <w:br/>
        <w:t xml:space="preserve">The Competition Authority,  </w:t>
        <w:br/>
        <w:t xml:space="preserve">Having regard to the complete notification file submitted to the mergers department on June 19, 2019,  </w:t>
        <w:br/>
        <w:t xml:space="preserve">concerning the exclusive control acquisition of the company Home &amp; Furnitures by the company Aquinos  </w:t>
        <w:br/>
        <w:t xml:space="preserve">Group SGPS, formalized by a transfer protocol dated June 11,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control of the company Home &amp; Furnitures by the  </w:t>
        <w:br/>
        <w:t xml:space="preserve">company Aquinos Group SGPS. It constitutes a concentration within the meaning of Article L. 430-1 of the  </w:t>
        <w:br/>
        <w:t xml:space="preserve">Commercial Code. Given the turnover achieved by the concerned companies, the operation does not fall under  </w:t>
        <w:br/>
        <w:t xml:space="preserve">the jurisdiction of the European Union. However, the control thresholds mentioned in I of Article L. 430-2 of the  </w:t>
        <w:br/>
        <w:t xml:space="preserve">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The markets concerned by the operation are those in the furniture products sector.  </w:t>
        <w:br/>
        <w:t xml:space="preserve">3. Regardless of the segmentations retained, the combined market shares of the parties are  </w:t>
        <w:br/>
        <w:t xml:space="preserve">below 25% when their activities overlap in the same market and below 30% when their activities are located in  </w:t>
        <w:br/>
        <w:t xml:space="preserve">upstream, downstream, or related markets.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19-131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