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https://www.autoritedelaconcurrence.fr/fr/decision-de-controle-des-concentrations/relative-la-prise-de-controle-exclusif-de-la-societe-horace</w:t>
      </w:r>
    </w:p>
    <w:p>
      <w:r>
        <w:t>Pages translated : 2</w:t>
      </w:r>
    </w:p>
    <w:p/>
    <w:p>
      <w:r>
        <w:rPr>
          <w:b/>
        </w:rPr>
        <w:t>[Pages 1–2]</w:t>
      </w:r>
    </w:p>
    <w:p>
      <w:r>
        <w:t xml:space="preserve">FRENCH REPUBLIC  </w:t>
        <w:br/>
        <w:t xml:space="preserve">Decision No. 18-DCC-232 of December 27, 2018  </w:t>
        <w:br/>
        <w:t xml:space="preserve">regarding the exclusive control acquisition of the company Horace by the  </w:t>
        <w:br/>
        <w:t xml:space="preserve">company ITM Alimentaire Sud-Ouest  </w:t>
        <w:br/>
        <w:t xml:space="preserve">The Competition Authority,  </w:t>
        <w:br/>
        <w:t xml:space="preserve">Having regard to the complete notification file submitted to the mergers department on  </w:t>
        <w:br/>
        <w:t xml:space="preserve">November 22, 2018, concerning the exclusive control acquisition of the company Horace by the company  </w:t>
        <w:br/>
        <w:t xml:space="preserve">ITM Alimentaire Sud-Ouest, materialized by a letter of intent dated  </w:t>
        <w:br/>
        <w:t xml:space="preserve">October 20,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w:t>
        <w:br/>
        <w:t xml:space="preserve">Sud-Ouest of the company Horace, which operates a food-dominant retail outlet of the hypermarket type, under the Intermarché brand, with an area of 2,515 m², located in the city of  </w:t>
        <w:br/>
        <w:t xml:space="preserve">Cahors (46). It constitutes a concentration operation within the meaning of Article L. 430-1 of the Commercial Code. Given the turnover achieved by the companies concerned,  </w:t>
        <w:br/>
        <w:t xml:space="preserve">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w:t>
        <w:br/>
        <w:t xml:space="preserve">L. 430-3 and following of the Commercial Code relating to economic concentration.  </w:t>
        <w:br/>
        <w:t xml:space="preserve">2. In light of the elements of the file, the operation is not likely to harm competition  </w:t>
        <w:br/>
        <w:t>in the relevant markets.</w:t>
      </w:r>
    </w:p>
    <w:p>
      <w:r>
        <w:t xml:space="preserve">DECIDES  </w:t>
        <w:br/>
        <w:t xml:space="preserve">Sole Article: The operation notified under number 18-273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