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https://www.autoritedelaconcurrence.fr/fr/decision-de-controle-des-concentrations/relative-la-prise-de-controle-exclusif-de-la-societe-hpa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19-DCC-100 of May 21, 2019  </w:t>
        <w:br/>
        <w:t xml:space="preserve">regarding the exclusive control acquisition of the company HPA by the company  </w:t>
        <w:br/>
        <w:t xml:space="preserve">Kervita  </w:t>
        <w:br/>
        <w:t xml:space="preserve">The Competition Authority,  </w:t>
        <w:br/>
        <w:t xml:space="preserve">Having regard to the complete notification file sent to the mergers department on April 11, 2019,  </w:t>
        <w:br/>
        <w:t xml:space="preserve">regarding the exclusive control acquisition of the company HPA by the company Kervita SAS, formalized by  </w:t>
        <w:br/>
        <w:t xml:space="preserve">a share transfer agreement dated April 10,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HPA by the company  </w:t>
        <w:br/>
        <w:t xml:space="preserve">Kervita. It constitutes a concentration within the meaning of Article L. 430-1 of the Commercial Code.  </w:t>
        <w:br/>
        <w:t xml:space="preserve">Considering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long-term accommodation and care  </w:t>
        <w:br/>
        <w:t xml:space="preserve">for elderly persons and those of real estate asset management, which are consistently defined  </w:t>
        <w:br/>
        <w:t xml:space="preserve">by the decision-making practice of the competition authorities.  </w:t>
        <w:br/>
        <w:t xml:space="preserve">3. Regardless of the segmentations retained, the cumulative market shares of the parties are  </w:t>
        <w:br/>
        <w:t xml:space="preserve">below 25% when their activities overlap in the same market and below 30% when  </w:t>
        <w:br/>
        <w:t xml:space="preserve">their activities are located in upstream or downstream markets.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19-087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