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https://www.autoritedelaconcurrence.fr/fr/decision-de-controle-des-concentrations/relative-la-prise-de-controle-exclusif-de-la-societe-hrc</w:t>
      </w:r>
    </w:p>
    <w:p>
      <w:r>
        <w:t>Pages translated : 14</w:t>
      </w:r>
    </w:p>
    <w:p/>
    <w:p>
      <w:r>
        <w:rPr>
          <w:b/>
        </w:rPr>
        <w:t>[Pages 1–3]</w:t>
      </w:r>
    </w:p>
    <w:p>
      <w:r>
        <w:t xml:space="preserve">FRENCH REPUBLIC  </w:t>
        <w:br/>
        <w:t xml:space="preserve">Decision No. 23-DCC-81 of May 5, 2023  </w:t>
        <w:br/>
        <w:t xml:space="preserve">regarding the exclusive control of  </w:t>
        <w:br/>
        <w:t>HRC Environnement by Tereva</w:t>
      </w:r>
    </w:p>
    <w:p>
      <w:r>
        <w:t xml:space="preserve">The Competition Authority,  </w:t>
        <w:br/>
        <w:t xml:space="preserve">Having regard to the notification file submitted in full to the merger service on March 29, 2023,  </w:t>
        <w:br/>
        <w:t xml:space="preserve">regarding the exclusive control of HRC Environnement by Tereva, formalized by a promise of acquisition signed on December 9, 2022;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I. The concerned companies and the operation  </w:t>
        <w:br/>
        <w:t xml:space="preserve">1. Tereva is a 100% subsidiary of Martin Belaysoud Expansion (hereinafter "MBE"), which is itself held at [90-100]% by the family civil company [confidential] (hereinafter referred to as "SCFM"). SCFM is exclusively controlled by the [confidential] family. The MBE Group consists of seven French subsidiaries active in the technical professional distribution sector. Tereva, one of the seven subsidiaries, specializes in the distribution, exclusively to professionals (plumbing or heating craftsmen), of sanitary, heating, and air conditioning products (hereinafter referred to as "SACHA products"). Since the acquisition of NED in 2022, Tereva has also developed an activity in the photovoltaic market sector. Tereva operates 153 sites, all located in mainland France.  </w:t>
        <w:br/>
        <w:t xml:space="preserve">2. HRC Environnement (hereinafter referred to as "HRC") is the holding company of the eponymous group. It is owned by M Capital Partners ([confidential]%) and the heirs of Mr. [confidential]1. HRC holds 100% of the capital of Solipac, a company primarily active in the wholesale and retail sale of heating, air conditioning, and other equipment related to renewable energies for domestic or professional use. It operates through 12 agencies.  </w:t>
        <w:br/>
        <w:t xml:space="preserve">3. The contemplated operation consists of Tereva acquiring [60-70]% of the capital of HRC, the remainder of the capital being held at [confidential]% by the heirs of Mr. [confidential] and [confidential]% by [confidential]. Tereva will then exercise alone a decisive influence over HRC Environnement as it will solely hold the power to make strategic commercial decisions for the HRC group and Solipac. As it results in the exclusive control of the HRC group by the Tereva group, the notified operation constitutes a concentration operation within the meaning of Article L. 430-1 of the Commercial Code.  </w:t>
        <w:br/>
        <w:t>4. The concerned companies together achieve a total worldwide turnover excluding taxes of more than 150 million euros (MBE: [≥150 million] euros for the fiscal year ending December 31, 2021; HRC: [≤150 million] euros for the same fiscal year). Each of these companies has achieved a turnover in France exceeding 50 million euros (MBE: [≥50 million] euros for the fiscal year ending December 31, 2021; HRC: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parties are simultaneously active in the markets for electrical and non-electrical climate engineering products as well as in the markets for photovoltaic products2.  </w:t>
        <w:br/>
        <w:t xml:space="preserve">A. THE MARKETS FOR ELECTRICAL AND NON-ELECTRICAL CLIMATE ENGINEERING PRODUCTS  </w:t>
        <w:br/>
        <w:t xml:space="preserve">6. In these markets, the parties are present both upstream, as buyers of climate engineering products from manufacturers, and downstream in the specialized trading market, as sellers of these same products to installers. The climate engineering products marketed by the parties can be non-electrical or electrical.  </w:t>
        <w:br/>
        <w:t>2 The notifying party is also present in markets unrelated to the markets in question (steel products, investments), or in related markets but marginally (supply of consumable products). Solipac is also marginally present in the retail market for the distribution of heating and air conditioning equipment.</w:t>
      </w:r>
    </w:p>
    <w:p>
      <w:r>
        <w:t xml:space="preserve">1. THE UPSTREAM MARKET FOR SUPPLY OF ELECTRICAL AND NON-ELECTRICAL CLIMATE ENGINEERING PRODUCTS  </w:t>
        <w:br/>
        <w:t xml:space="preserve">7. The Competition Authority has analyzed the climate engineering sector on several occasions. It has, on one hand, identified a market for SACHA products3, composed of four product families4: (i) sanitary products, (ii) heating products, (iii) air conditioning products, and (iv) plumbing products, with suppliers generally active in only one or two of these families.  </w:t>
        <w:br/>
        <w:t xml:space="preserve">8. On the other hand, European and national decision-making practice has identified, within electrical products, a market for climate engineering products, alongside four other product families: (i) domestic appliances, (ii) lighting, (iii) electrical wires, cables, and conduits, (iv) communication and security.  </w:t>
        <w:br/>
        <w:t xml:space="preserve">9. The combined reading of these different decision-making practices highlights the fact that climate engineering products can be segmented by product category (sanitary, heating, air conditioning, and plumbing) and, where relevant, between electrical and non-electrical products.  </w:t>
        <w:br/>
        <w:t xml:space="preserve">10. Furthermore, it follows from decision-making practice, whether concerning SACHA products or electrical products, a national delimitation of the supply markets.  </w:t>
        <w:br/>
        <w:t>11. In this case, both parties are active in France in the upstream market for the supply of heating and air conditioning products. Given the decision-making practice that has just been outlined, the competitive analysis will be conducted, concerning heating products, by distinguishing between electrical and non-electrical products. Such a distinction does not appear necessary for the market of air conditioning products which are, by nature, electrical products.</w:t>
      </w:r>
    </w:p>
    <w:p>
      <w:r>
        <w:t xml:space="preserve">2. THE DOWNSTREAM MARKET FOR TRADING IN ELECTRICAL AND NON-ELECTRICAL CLIMATE ENGINEERING PRODUCTS  </w:t>
        <w:br/>
        <w:t xml:space="preserve">Product Market  </w:t>
        <w:br/>
        <w:t xml:space="preserve">12. Like the upstream market, the parties' activity in the downstream market will be examined in light of the Authority's decision-making practice regarding SACHA products as well as that regarding the distribution of electrical equipment.  </w:t>
        <w:br/>
        <w:t xml:space="preserve">13. It should be recalled, first of all, that the Authority has analyzed the distribution activity of climate engineering products through the specialized trading market for SACHA products aimed at professionals5, which constitutes one of the components of the construction products trading market.  </w:t>
        <w:br/>
        <w:t xml:space="preserve">4 See, for example, the Authority's decisions No. 15-DCC-145 of October 27, 2015, regarding the joint control of Anjac CSI SA by Tereva SAS alongside Anjac SA, and No. 12-DCC-41 of March 23, 2012, regarding the exclusive control of Brossette by Point P.  </w:t>
        <w:br/>
        <w:t>5 Decisions No. 15-DCC-145 and No. 12-DCC-41 cited above.</w:t>
      </w:r>
    </w:p>
    <w:p>
      <w:r>
        <w:rPr>
          <w:b/>
        </w:rPr>
        <w:t>[Pages 4–6]</w:t>
      </w:r>
    </w:p>
    <w:p>
      <w:r>
        <w:t>14. According to decision-making practice, it is necessary to distinguish within the market for the trading of construction products between "generalist" traders and "specialists" to the extent that the depth of ranges of materials distributed differs between these two distribution channels. The offering of "generalist" traders covers a complete assortment of product ranges and targets all downstream players in the construction sector. "Specialized" traders, whose offering is centered on a family of products, provide deeper ranges and more advanced expertise on specific product lines. Specifically regarding the trading of SACHA products, it is intended to meet the specific needs of a particular category of customers, namely plumbers and heating engineers. They generally source their supplies from specialized points of sale, the largest of which sometimes have over 200,000 referenced products. They often benefit from professional accounts and services, such as sizing studies, and have exhibition spaces ("showrooms") to showcase products to end customers. Finally, they take their orders on-site (sometimes on their way to job sites) or have them delivered to their workplace.</w:t>
      </w:r>
    </w:p>
    <w:p>
      <w:r>
        <w:t>15. The decision-making practice of European and national competition authorities has identified, secondly, a market for the distribution of electrical products to professionals, within which no distinction is made between the different families of products as all distributors offer all families of products to meet the full range of their customers' needs.</w:t>
      </w:r>
    </w:p>
    <w:p>
      <w:r>
        <w:t>16. In contrast, as with the trading of SACHA products, the Authority has identified a distinct market for specialized trading in electrical products. Indeed, "generalist" wholesalers do not offer an electrical equipment range comparable to that offered by "specialists" in terms of range, price, and advice, even though "generalists" can exert significant competitive pressure on "specialists" regarding the most basic products. Furthermore, professional customers generally source exclusively from "specialist" traders.</w:t>
      </w:r>
    </w:p>
    <w:p>
      <w:r>
        <w:t>17. In this case, the parties are active in the market for trading climate engineering products. The preceding developments suggest that these products can be linked to two distinct classifications in the Authority's decision-making practice, namely the trading of electrical products on one hand, and the trading of SACHA products on the other hand.</w:t>
      </w:r>
    </w:p>
    <w:p>
      <w:r>
        <w:t>18. In this context, in order to assess the competitive effects of the proposed operation, and in accordance with the analysis carried out on upstream markets, the Authority conducted an analysis of the effects of the operation on the markets for climate engineering products, which correspond, for the most part, to SACHA products, distinguishing within these products between electrical products (notably, heat pumps, electric radiators, non-reversible air conditioning, and ventilation) and non-electrical products (notably, gas, oil, and biomass boilers).</w:t>
      </w:r>
    </w:p>
    <w:p>
      <w:r>
        <w:t>19. Both in the sector of specialized trading in SACHA products and for the distribution of electrical products, competition is exercised from the consumer's perspective primarily at the local level.</w:t>
      </w:r>
    </w:p>
    <w:p>
      <w:r>
        <w:t>20. Decision-making practice, both European and national, thus considers that the market for trading SACHA products is of local dimension, with professionals in the construction sector primarily making their purchases close to their area of intervention.</w:t>
      </w:r>
    </w:p>
    <w:p>
      <w:r>
        <w:t>21. Regarding this market, decision-making practice has established that the journeys made by consumers of construction products vary depending on the degree of specialization of the point of sale concerned. In terms of SACHA products, national practice has noted that "wholesalers in sanitary-heating delivering materials to professionals do so within a radius of 40 to 60 kilometers, on one hand, and that professionals wish for their wholesaler to be no more than a half-hour's journey away," thus retaining a departmental dimension.</w:t>
      </w:r>
    </w:p>
    <w:p>
      <w:r>
        <w:t>22. Concerning the distribution of electrical products, the Authority conducted its analysis at both the national and local levels. Indeed, while it noted the importance of deliveries, it also emphasized that the proximity of agencies is particularly important for professionals: "the existence of a dense network of agencies is the guarantee of being able to access a wide range of products, expert advice, and very short delivery times."</w:t>
      </w:r>
    </w:p>
    <w:p>
      <w:r>
        <w:t>23. Regarding the geographical delimitation of local catchment areas, the Authority noted that "generally, customers claim to go to the nearest agency, which is usually located less than 30 kilometers away."</w:t>
      </w:r>
    </w:p>
    <w:p>
      <w:r>
        <w:t>24. Previous practice has also noted, both for specialized trading in SACHA products and for the distribution to professionals of electrical equipment, that certain elements of the analysis can be examined in a broader context than just the local level. Indeed, several competitive parameters can be assessed at the national level, notably due to the presence of distribution groups operating throughout French territory and having a wide coverage of points of sale under a common brand, and the importance of free delivery on-site.</w:t>
      </w:r>
    </w:p>
    <w:p>
      <w:r>
        <w:t>25. Given these elements, it is necessary to assess the effects of the operation on the downstream market for trading climate engineering products at both the national and local levels. For the latter scope, the Authority chose to retain catchment areas defined by a journey of 30 kilometers around the target agencies, a distance that systematically corresponds to the highest cumulative activity of the parties.</w:t>
      </w:r>
    </w:p>
    <w:p>
      <w:r>
        <w:t>B. THE PHOTOVOLTAIC PRODUCTS MARKETS</w:t>
        <w:br/>
        <w:t>1. PRODUCT MARKET</w:t>
        <w:br/>
        <w:t>26. Photovoltaic technology allows the conversion of solar energy into electrical energy. A photovoltaic system is composed of photovoltaic cells, electronic components that enable this conversion. The assembly of photovoltaic cells, connected to each other and encapsulated between glass plates, constitutes photovoltaic modules (or photovoltaic panels). The module itself is connected to other components, usually an inverter, which allows the conversion of the direct current produced by the cells into alternating current, a charge controller, and batteries. These systems are sold to installers, distributors, local authorities, or end consumers. Suppliers of integrated solutions, known as "turnkey," generally offer the installation of photovoltaic systems at their client's site, accompanied by related services (design, operation and maintenance, financing solutions, preparation of administrative procedures).</w:t>
      </w:r>
    </w:p>
    <w:p>
      <w:r>
        <w:t>27. The decision-making practice of national and European competition authorities has considered that terrestrial photovoltaic can be distinguished from orbital solar cells. Furthermore, it has contemplated, without however resolving the issue, retaining the following market segmentations within terrestrial photovoltaic: (i) photovoltaic cells; (ii) photovoltaic modules; and (iii) integrated photovoltaic systems, to the extent that the consumers of cells, modules, and integrated photovoltaic systems are generally not the same and that the companies active in this sector are variously integrated across these different activities.</w:t>
      </w:r>
    </w:p>
    <w:p>
      <w:r>
        <w:t>28. In this case, the parties to the operation market complete kits to professional installers, which they compose by sourcing from suppliers of panels, inverters, roof mounting supports, and electrical wiring.</w:t>
      </w:r>
    </w:p>
    <w:p>
      <w:r>
        <w:t>29. If, in the upstream market, traders source from the same suppliers for the entire power range they distribute, a segmentation of the market by type of components cannot be excluded.</w:t>
      </w:r>
    </w:p>
    <w:p>
      <w:r>
        <w:t>30. The notifying party further considers that, in the downstream market, it is appropriate to make a distinction based on the peak powers delivered by the installations, as the clientele differs according to the powers.</w:t>
      </w:r>
    </w:p>
    <w:p>
      <w:r>
        <w:t>31. The notifying party proposes to retain the following segmentation:</w:t>
        <w:br/>
        <w:t>- &lt; 9 kWc</w:t>
        <w:br/>
        <w:t>- between 9 and 36 kWc</w:t>
        <w:br/>
        <w:t>- 36 and 100 kWc</w:t>
      </w:r>
    </w:p>
    <w:p>
      <w:r>
        <w:rPr>
          <w:b/>
        </w:rPr>
        <w:t>[Pages 7–9]</w:t>
      </w:r>
    </w:p>
    <w:p>
      <w:r>
        <w:t>- &gt; 100 kWc.</w:t>
        <w:br/>
        <w:t>32. In any case, it is not necessary to resolve this issue insofar as, regardless of the segmentation chosen, the competitive analysis is not altered.</w:t>
        <w:br/>
        <w:t>2. GEOGRAPHICAL MARKET</w:t>
        <w:br/>
        <w:t>33. The decision-making practice of national and European competition authorities has considered that the markets for photovoltaic cells and modules are of a global dimension.</w:t>
        <w:br/>
        <w:t>34. However, it has considered that the market for integrated photovoltaic systems could have a national dimension because market conditions vary significantly from one State to another, particularly due to public aid schemes related to the installation of photovoltaic systems.</w:t>
        <w:br/>
        <w:t>35. In this case, the competitive analysis of the upstream market will be conducted at the national level, which is the most conservative analysis given the activities of the parties.</w:t>
        <w:br/>
        <w:t>36. Regarding the downstream trading market, the notifying party considers that, although it has several agencies across the territory, a national market dimension should be retained. It mentions several reasons:</w:t>
        <w:br/>
        <w:t>- the clients of the parties who are system installers are specialized installers and therefore have a much broader operational scope than non-specialized installers;</w:t>
        <w:br/>
        <w:t>- complete product kits are easily transportable and therefore deliverable anywhere in France;</w:t>
        <w:br/>
        <w:t>- the products do not require local technical assistance, as the installing clients are technically trained to implement the kits;</w:t>
        <w:br/>
        <w:t>- no itinerant visits to construction sites are carried out by the actors in the trading of photovoltaic products.</w:t>
        <w:br/>
        <w:t>37. The notifying party adds that the parties address a client in the same way whether located in the Northern part or the Southern part, whether in terms of price or logistics: the commercial/pricing/logistics policy does not depend, on a national scale, on the region in which the client (installer) is located.</w:t>
        <w:br/>
        <w:t>38. It finally adds that NED (a subsidiary of TEREVA which notably has a distribution activity for photovoltaic products) and SOLIPAC have no local presence for the distribution of photovoltaic products.</w:t>
        <w:br/>
        <w:t>39. In this context, the Authority conducted a market test to assess the geographical delimitation of the photovoltaic products distribution market. It appears that while some operators believe that the market does not present regional differences, others consider that competition operates at different degrees depending on the regions. Conversely, it emerges from the information provided by the respondents that the number of agencies necessary to ensure distribution across the entire metropolitan territory is lower for photovoltaic systems than for SACHA products, for example.</w:t>
        <w:br/>
        <w:t>40. In any case, it is not necessary to resolve this issue insofar as, regardless of the geographical dimension retained, whether national or regional, the competitive analysis is not altered.</w:t>
        <w:br/>
        <w:t>41. In this case, the analysis of the upstream supply market will be conducted solely at the national level, while the analysis of the downstream trading market for photovoltaic products will be conducted at both the national and regional levels.</w:t>
        <w:br/>
        <w:t>III. Competitive Analysis</w:t>
        <w:br/>
        <w:t>42. The parties are simultaneously active in the upstream and downstream markets for both electrical and non-electrical climate engineering products, as well as in the upstream and downstream markets for photovoltaic kits.</w:t>
        <w:br/>
        <w:t>A. ANALYSIS OF THE HORIZONTAL EFFECTS OF THE OPERATION ON THE MARKETS FOR ELECTRICAL AND NON-ELECTRICAL CLIMATE ENGINEERING PRODUCTS</w:t>
        <w:br/>
        <w:t>1. THE UPSTREAM MARKET FOR SUPPLY OF ELECTRICAL AND NON-ELECTRICAL CLIMATE ENGINEERING PRODUCTS</w:t>
        <w:br/>
        <w:t>43. In the upstream market, the purchasing market shares of the parties in climate engineering products are as follows:</w:t>
        <w:br/>
        <w:t>Product Families MBE HRC Combined Market Share</w:t>
        <w:br/>
        <w:t>Heating Products [5-10]% [0-5]% [5-10]%</w:t>
        <w:br/>
        <w:t>including electrical products [0-5]% [0-5]% [5-10]%</w:t>
        <w:br/>
        <w:t>including non-electrical products [10-20]% [0-5]% [10-20]%</w:t>
        <w:br/>
        <w:t>Air Conditioning Products [0-5]% [0-5]% [0-5]%</w:t>
        <w:br/>
        <w:t>44. Given the limited market shares of the parties, the operation is not likely to harm competition in this upstream supply market through horizontal effects.</w:t>
        <w:br/>
        <w:t>2. THE DOWNSTREAM MARKET FOR TRADING IN ELECTRICAL AND NON-ELECTRICAL CLIMATE ENGINEERING PRODUCTS</w:t>
        <w:br/>
        <w:t>45. In accordance with the market delimitations retained in points 19 and following, the combined market shares of the parties will be examined at both the national and local levels, for their trading activities in electrical climate engineering products on one hand and for their trading activities in non-electrical climate engineering products on the other hand.</w:t>
        <w:br/>
        <w:t>a) National Market</w:t>
        <w:br/>
        <w:t>46. At the national level, the market shares of the parties are as follows:</w:t>
        <w:br/>
        <w:t>Trading in climate engineering products MBE HRC Combined</w:t>
        <w:br/>
        <w:t>Trading in climate engineering products [5-10]% [0-5]% [5-10]%</w:t>
        <w:br/>
        <w:t>including trading in electrical climate engineering products [0-5]% [0-5]% [0-5]%</w:t>
        <w:br/>
        <w:t>including trading in non-electrical climate engineering products [10-20]% [0-5]% [10-20]%</w:t>
        <w:br/>
        <w:t>47. Given the limited market shares of the parties, the operation is not likely to harm competition in this national market for trading in electrical or non-electrical climate engineering products.</w:t>
        <w:br/>
        <w:t>b) Local Markets</w:t>
        <w:br/>
        <w:t>48. At the local level, the Competition Authority examined the competitive situation that would result from the operation in the 12 catchment areas of 30 km defined around the 12 agencies of the target.</w:t>
        <w:br/>
        <w:t>49. No MBE agency is located in 6 of these areas, and overlaps in activity do not appear in the following areas:</w:t>
        <w:br/>
        <w:t>- Chassieu (69);</w:t>
        <w:br/>
        <w:t>- Irigny (69);</w:t>
        <w:br/>
        <w:t>- Albi (81);</w:t>
        <w:br/>
        <w:t>- Toulouse l’Union (31);</w:t>
        <w:br/>
        <w:t>- Toulouse Thibaud (31);</w:t>
        <w:br/>
        <w:t>- Montpellier (34).</w:t>
        <w:br/>
        <w:t>50. In order to determine the market shares in each of these areas, the Authority surveyed all competitors of the parties with an agency in these areas, in order to know the turnover of each agency for the two trading activities presenting overlaps in activity.</w:t>
        <w:br/>
        <w:t>- trading in electrical climate engineering products;</w:t>
        <w:br/>
        <w:t>- trading in non-electrical climate engineering products.</w:t>
        <w:br/>
        <w:t>51. The competitive situation in these areas is therefore assessed based on the turnover reported by 20 companies, for a total of 272 agencies. Retaining a distance of 30 kilometers to define the catchment areas, the market shares of the parties are as follows:</w:t>
        <w:br/>
        <w:t>Electrical Climate Engineering MBE HRC Combined</w:t>
        <w:br/>
        <w:t>Solipac Chassieu [5-10]% [10-20]% [10-20]%</w:t>
        <w:br/>
        <w:t>Solipac Irigny [0-5]% [5-10]% [10-20]%</w:t>
        <w:br/>
        <w:t>Solipac Albi [0-5]% [5-10]% [10-20]%</w:t>
        <w:br/>
        <w:t>Solipac Toulouse L'Union [0-5]% [10-20]% [20-30]%</w:t>
        <w:br/>
        <w:t>Solipac Toulouse Thibaud [0-5]% [10-20]% [20-30]%</w:t>
        <w:br/>
        <w:t>Solipac Montpellier [0-5]% [5-10]% [5-10]%</w:t>
      </w:r>
    </w:p>
    <w:p>
      <w:r>
        <w:rPr>
          <w:b/>
        </w:rPr>
        <w:t>[Pages 10–12]</w:t>
      </w:r>
    </w:p>
    <w:p>
      <w:r>
        <w:t>Non-electric HVAC MBE HRC Combined</w:t>
        <w:br/>
        <w:t>Solipac Chassieu [10-20]% [0-5]% [10-20]%</w:t>
        <w:br/>
        <w:t>Solipac Irigny [10-20]% [0-5]% [10-20]%</w:t>
        <w:br/>
        <w:t>Solipac Albi [0-5]% [0-5]% [0-5]%</w:t>
        <w:br/>
        <w:t>Solipac Toulouse L'Union [10-20]% [0-5]% [10-20]%</w:t>
        <w:br/>
        <w:t>Solipac Toulouse Thibaud [10-20]% [0-5]% [10-20]%</w:t>
        <w:br/>
        <w:t>Solipac Montpellier [0-5]% [0-5]% [0-5]%</w:t>
        <w:br/>
        <w:t>52. Regardless of the activity or the area examined, the combined market share of the parties does not exceed 25%. Specifically regarding the trading in electrical HVAC products, it appears that, while HRC may have a significant activity in certain areas, with a market share of nearly [10-20]%, the incremental activity brought by MBE's agencies remains limited and always below 6%.</w:t>
        <w:br/>
        <w:t>53. Regarding the trading in non-electrical HVAC products, the situation is reversed. MBE has a significant activity, with market shares reaching [20-30]%, while HRC's activity remains marginal. These market shares illustrate a relatively marked specialization of the parties, with MBE focused on its historical business of trading in SACHA products and HRC on its activity of trading in electrical HVAC products.</w:t>
        <w:br/>
        <w:t>54. Given the limited market shares of the parties, the operation is not likely to harm competition in the local markets for trading in electrical or non-electrical HVAC products in the areas of Chassieu (69), Irigny (69), Albi (81), Toulouse L'Union (31), Toulouse Thibaud (31), and Montpellier (34).</w:t>
        <w:br/>
        <w:t>B. ANALYSIS OF THE HORIZONTAL EFFECTS OF THE OPERATION ON THE PHOTOVOLTAIC PRODUCTS MARKETS</w:t>
        <w:br/>
        <w:t>55. The parties are simultaneously active in the upstream market for the supply of photovoltaic products, as well as in the downstream trading market.</w:t>
        <w:br/>
        <w:t>1. THE UPSTREAM MARKET FOR THE SUPPLY OF PHOTOVOLTAIC PRODUCTS</w:t>
        <w:br/>
        <w:t>56. In the upstream supply market, the national market shares of the parties are as follows:</w:t>
        <w:br/>
        <w:t>Market Shares</w:t>
        <w:br/>
        <w:t>MBE [0-5]%</w:t>
        <w:br/>
        <w:t>HRC [0-5]%</w:t>
        <w:br/>
        <w:t>TOTAL [0-5]%</w:t>
        <w:br/>
        <w:t>57. The notifying party also specified that for each type of component (photovoltaic panels, inverters, roof mounting supports, or electrical wiring), the combined market share of the parties, at purchase, is significantly below 4%.</w:t>
        <w:br/>
        <w:t>58. Given the preceding elements, the operation is not likely to harm competition in the upstream market for the supply of photovoltaic products.</w:t>
        <w:br/>
        <w:t>2. THE DOWNSTREAM MARKET FOR TRADING IN PHOTOVOLTAIC PRODUCTS</w:t>
        <w:br/>
        <w:t>59. The effects of the operation will be analyzed at the national and local levels, based on the segmentations proposed by the notifying party by power range, and on the market encompassing all photovoltaic products.</w:t>
        <w:br/>
        <w:t>a) National Market</w:t>
        <w:br/>
        <w:t>60. In the downstream market, the market shares of the parties at the national level are as follows:</w:t>
        <w:br/>
        <w:t>MBE HRC Combined</w:t>
        <w:br/>
        <w:t>complete kits &lt; 9 kWc [10-20]% [5-10]% [20-30]%</w:t>
        <w:br/>
        <w:t>complete kits between 9 kWc and 36 kWc [0-5]% [0-5]% [5-10]%</w:t>
        <w:br/>
        <w:t>complete kits between 36 kWc and 100 kWc [0-5]% [0-5]% [0-5]%</w:t>
        <w:br/>
        <w:t>Plant &gt; 100 kWc [0-5]% [0-5]% [0-5]%</w:t>
        <w:br/>
        <w:t>Overall [0-5]% [0-5]% [0-5]%</w:t>
        <w:br/>
        <w:t>61. Given the market shares of the parties, any risk of harming competition can be ruled out at the national level.</w:t>
        <w:br/>
        <w:t>b) Local Markets</w:t>
        <w:br/>
        <w:t>62. The parties are simultaneously active in seven French regions for which they have communicated their market shares, which are presented in the following paragraphs.</w:t>
        <w:br/>
        <w:t>Auvergne-Rhône-Alpes</w:t>
        <w:br/>
        <w:t>Auvergne-Rhône-Alpes MBE HRC Combined</w:t>
        <w:br/>
        <w:t>≤ 9 kW [40-50]% [0-5]% [40-50]%</w:t>
        <w:br/>
        <w:t>&gt; 9 kW and ≤ 36 kW [10-20]% [0-5]% [10-20]%</w:t>
        <w:br/>
        <w:t>&gt; 36 kW and ≤ 100 kW [0-5]% [0-5]% [0-5]%</w:t>
        <w:br/>
        <w:t>&gt; 100 kW [0-5]% [0-5]% [0-5]%</w:t>
        <w:br/>
        <w:t>Overall [5-10]% [0-5]% [10-20]%</w:t>
        <w:br/>
        <w:t>63. The Auvergne-Rhône-Alpes region is very important for MBE, which generates nearly [50-60]% of its revenue there. In this region, the market shares of the parties are below 15% for all installations with a power greater than 9 kWc. In the market for installations with a power less than 9 kWc, MBE's market share reaches nearly [40-50]%, while HRC's is below 2%. The proposed operation therefore only marginally alters the competitive situation in this market for complete kits with a power less than 9 kWc and does not raise any competition issues.</w:t>
        <w:br/>
        <w:t>Grand Est</w:t>
        <w:br/>
        <w:t>Grand Est MBE HRC Combined</w:t>
        <w:br/>
        <w:t>≤ 9 kW [10-20]% [0-5]% [10-20]%</w:t>
        <w:br/>
        <w:t>&gt; 9 kW and ≤ 36 kW [0-5]% [0-5]% [0-5]%</w:t>
        <w:br/>
        <w:t>&gt; 36 kW and ≤ 100 kW [0-5]% [0-5]% [0-5]%</w:t>
        <w:br/>
        <w:t>&gt; 100 kW [0-5]% [0-5]% [0-5]%</w:t>
        <w:br/>
        <w:t>Overall [0-5]% [0-5]% [0-5]%</w:t>
        <w:br/>
        <w:t>64. In the Grand Est region, the combined market shares of the parties remain below 20%, regardless of the segment considered, with HRC having a completely marginal activity in this region.</w:t>
        <w:br/>
        <w:t>65. The operation therefore does not raise any competition issues in this area.</w:t>
        <w:br/>
        <w:t>Ile-de-France</w:t>
        <w:br/>
        <w:t>Ile-de-France MBE HRC Combined</w:t>
        <w:br/>
        <w:t>≤ 9 kW [20-30]% [5-10]% [30-40]%</w:t>
        <w:br/>
        <w:t>&gt; 9 kW and ≤ 36 kW [5-10]% [5-10]% [10-20]%</w:t>
        <w:br/>
        <w:t>&gt; 36 kW and ≤ 100 kW [0-5]% [0-5]% [0-5]%</w:t>
        <w:br/>
        <w:t>&gt; 100 kW [0-5]% [0-5]% [0-5]%</w:t>
        <w:br/>
        <w:t>Overall [5-10]% [0-5]% [5-10]%</w:t>
        <w:br/>
        <w:t>66. In the Ile-de-France region, the combined market shares of the parties remain below 35%, regardless of the segment considered. In a potential market for complete kits with a power less than 9 kWc, MBE has a market share of nearly [20-30]% and HRC nearly [5-10]%. In the other segments, the combined market share of the parties remains below 13%. The new entity will also face competition from numerous companies present throughout the territory (Axdis, Rexel, EDF ENR, or Engie My Power) or more specifically in the Ile-de-France region (Alliantz, Domos, or Powerdeal).</w:t>
        <w:br/>
        <w:t>67. Given these elements, the operation is not likely to raise any competition issues in this area.</w:t>
        <w:br/>
        <w:t>Nouvelle Aquitaine</w:t>
        <w:br/>
        <w:t>Nouvelle Aquitaine MBE HRC Combined</w:t>
        <w:br/>
        <w:t>≤ 9 kW [5-10]% [0-5]% [5-10]%</w:t>
        <w:br/>
        <w:t>&gt; 9 kW and ≤ 36 kW [0-5]% [0-5]% [0-5]%</w:t>
        <w:br/>
        <w:t>&gt; 36 kW and ≤ 100 kW [0-5]% [0-5]% [0-5]%</w:t>
        <w:br/>
        <w:t>&gt; 100 kW [0-5]% [0-5]% [0-5]%</w:t>
        <w:br/>
        <w:t>Overall [0-5]% [0-5]% [0-5]%</w:t>
        <w:br/>
        <w:t>68. In the Nouvelle Aquitaine region, the combined market shares of the parties remain below 7%, regardless of the market considered.</w:t>
        <w:br/>
        <w:t>69. The operation therefore does not raise any competition issues in this area.</w:t>
        <w:br/>
        <w:t>Occitanie</w:t>
        <w:br/>
        <w:t>Occitanie MBE HRC Combined</w:t>
        <w:br/>
        <w:t>≤ 9 kW [10-20]% [10-20]% [20-30]%</w:t>
        <w:br/>
        <w:t>&gt; 9 kW and ≤ 36 kW [0-5]% [10-20]% [10-20]%</w:t>
        <w:br/>
        <w:t>&gt; 36 kW and ≤ 100 kW [0-5]% [0-5]% [0-5]%</w:t>
      </w:r>
    </w:p>
    <w:p>
      <w:r>
        <w:rPr>
          <w:b/>
        </w:rPr>
        <w:t>[Pages 13–14]</w:t>
      </w:r>
    </w:p>
    <w:p>
      <w:r>
        <w:t>&gt; 100 kW [0-5]% [0-5]% [0-5]%</w:t>
        <w:br/>
        <w:t>Overall [0-5]% [0-5]% [5-10]%</w:t>
        <w:br/>
        <w:t>70. In the Occitanie region, the combined market shares of the parties remain below 25%, regardless of the segment considered. This is an essential region for HRC, which generates nearly two-thirds of its revenue there.</w:t>
        <w:br/>
        <w:t>71. Given the combined market shares of the parties, the operation does not raise any competition issues in this area.</w:t>
        <w:br/>
        <w:t>Pays de la Loire</w:t>
        <w:br/>
        <w:t>Pays de la Loire MBE HRC Combined</w:t>
        <w:br/>
        <w:t>≤ 9 kW [5-10]% [0-5]% [5-10]%</w:t>
        <w:br/>
        <w:t>&gt; 9 kW and ≤ 36 kW [0-5]% [0-5]% [0-5]%</w:t>
        <w:br/>
        <w:t>&gt; 36 kW and ≤ 100 kW [0-5]% [0-5]% [0-5]%</w:t>
        <w:br/>
        <w:t>&gt; 100 kW [0-5]% [0-5]% [0-5]%</w:t>
        <w:br/>
        <w:t>Overall [0-5]% [0-5]% [0-5]%</w:t>
        <w:br/>
        <w:t>72. In the Pays de la Loire region, the combined market shares of the parties remain below 7%, regardless of the market considered, with HRC having a marginal activity in this region.</w:t>
        <w:br/>
        <w:t>73. The operation does not raise any competition issues in this area.</w:t>
        <w:br/>
        <w:t>PACA</w:t>
        <w:br/>
        <w:t>PACA MBE HRC Combined</w:t>
        <w:br/>
        <w:t>≤ 9 kW [5-10]% [0-5]% [10-20]%</w:t>
        <w:br/>
        <w:t>&gt; 9 kW and ≤ 36 kW [0-5]% [0-5]% [5-10]%</w:t>
        <w:br/>
        <w:t>&gt; 36 kW and ≤ 100 kW [0-5]% [0-5]% [0-5]%</w:t>
        <w:br/>
        <w:t>&gt; 100 kW [0-5]% [0-5]% [0-5]%</w:t>
        <w:br/>
        <w:t>Overall [0-5]% [0-5]% [0-5]%</w:t>
        <w:br/>
        <w:t>74. In the Provence-Alpes-Côte d'Azur region, the combined market shares of the parties remain below 12%, regardless of the segment considered.</w:t>
        <w:br/>
        <w:t>75. The operation does not raise any competition issues in this area.</w:t>
        <w:br/>
        <w:t>76. Considering the above elements, the proposed operation is not likely to harm competition in the downstream market for the supply of photovoltaic products, either at the national or regional level.</w:t>
        <w:br/>
        <w:t>77. Thus, taking all these elements into account, the Competition Authority considers that the operation is not likely to harm competition in the relevant markets.</w:t>
        <w:br/>
        <w:t>13</w:t>
      </w:r>
    </w:p>
    <w:p>
      <w:r>
        <w:t>DECIDES</w:t>
        <w:br/>
        <w:t>Single Article: The operation notified under number 22-332 is authorized.</w:t>
        <w:br/>
        <w:t>The President,</w:t>
        <w:br/>
        <w:t>Benoît Cœuré</w:t>
        <w:br/>
        <w:t>© Competition Authority</w:t>
        <w:br/>
        <w:t>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