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https://www.autoritedelaconcurrence.fr/fr/decision-de-controle-des-concentrations/relative-la-prise-de-controle-exclusif-de-la-societe-hsbc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25-DCC-90 of April 16, 2025  </w:t>
        <w:br/>
        <w:t xml:space="preserve">regarding the exclusive control acquisition of the company  </w:t>
        <w:br/>
        <w:t xml:space="preserve">HSBC Assurances Vie by the Matmut group  </w:t>
        <w:br/>
        <w:t xml:space="preserve">The Competition Authority,  </w:t>
        <w:br/>
        <w:t xml:space="preserve">Having regard to the complete notification file sent to the mergers department on March 19, 2025,  </w:t>
        <w:br/>
        <w:t xml:space="preserve">concerning the exclusive control acquisition of the company HSBC Assurances Vie by the Matmut group  </w:t>
        <w:br/>
        <w:t xml:space="preserve">formalized by a memorandum of understanding signed on December 20,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Matmut SAM, controlled by the  </w:t>
        <w:br/>
        <w:t xml:space="preserve">Matmut group, of 100% of the capital of the company HSBC Assurances Vie, which is active  </w:t>
        <w:br/>
        <w:t xml:space="preserve">in the French market for life insurance production. The operation constitutes a  </w:t>
        <w:br/>
        <w:t xml:space="preserve">concentration within the meaning of Article L. 430-1 of the Commercial Code. Given the revenues  </w:t>
        <w:br/>
        <w:t xml:space="preserve">generated by the companies concerned,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25-079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