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https://www.autoritedelaconcurrence.fr/fr/decision-de-controle-des-concentrations/relative-la-prise-de-controle-exclusif-de-la-societe-hub</w:t>
      </w:r>
    </w:p>
    <w:p>
      <w:r>
        <w:t>Pages translated : 6</w:t>
      </w:r>
    </w:p>
    <w:p/>
    <w:p>
      <w:r>
        <w:rPr>
          <w:b/>
        </w:rPr>
        <w:t>[Pages 1–3]</w:t>
      </w:r>
    </w:p>
    <w:p>
      <w:r>
        <w:t xml:space="preserve">FRENCH REPUBLIC  </w:t>
        <w:br/>
        <w:t xml:space="preserve">Decision No. 17-DCC-154 of September 21, 2017  </w:t>
        <w:br/>
        <w:t xml:space="preserve">regarding the exclusive control of Hub Safe S.A.S. by  </w:t>
        <w:br/>
        <w:t xml:space="preserve">Samsic S.A.S.  </w:t>
        <w:br/>
        <w:t xml:space="preserve">The Competition Authority,  </w:t>
        <w:br/>
        <w:t xml:space="preserve">Having regard to the notification file submitted in full to the merger service on August 22, 2017,  </w:t>
        <w:br/>
        <w:t xml:space="preserve">regarding the exclusive control of Hub Safe S.A.S. by Samsic S.A.S., formalized by a purchase promise for […] % of the capital and voting rights of Hub Safe S.A.S. signed by Samsic S.A.S. on May 6, 2017;  </w:t>
        <w:br/>
        <w:t xml:space="preserve">Having regard to Book IV of the Commercial Code relating to price freedom and competition, and in particular Articles L. 430-1 to L. 430-7;  </w:t>
        <w:br/>
        <w:t xml:space="preserve">Having regard to the supplementary elements submitted by the parties during the investigation;  </w:t>
        <w:br/>
        <w:t xml:space="preserve">Adopts the following decision:  </w:t>
        <w:br/>
        <w:t xml:space="preserve">I. The companies concerned and the operation  </w:t>
        <w:br/>
        <w:t xml:space="preserve">1. Samsic SAS (hereinafter, "Samsic") is a simplified joint-stock company wholly owned by family holdings and exclusively controlled by Mr. [X]. Samsic SAS heads a group of companies active in the business services sector, primarily in France and other European countries. Its activities are divided into several areas: cleanliness, security, airport services, reception, technical maintenance, environment, employment, training.  </w:t>
        <w:br/>
        <w:t xml:space="preserve">2. Hub Safe SAS (hereinafter, with its subsidiaries, "Hub Safe" or "the target") is a simplified joint-stock company currently wholly owned by Aéroport de Paris (hereinafter, "ADP"). It is the head of the Hub Safe group and thus holds the companies Hub Safe Nantes SAS, Hub Safe Training SAS, Hub Safe Regional SAS, and Hub Safe Events SAS. The Hub Safe group provides aviation security and guarding services in France.  </w:t>
        <w:br/>
        <w:t>3. The operation is formalized by a purchase promise dated May 16, 2017. It consists of the acquisition by Samsic of […] % of the capital and voting rights of Hub Safe SAS.</w:t>
      </w:r>
    </w:p>
    <w:p>
      <w:r>
        <w:t xml:space="preserve">This operation, which results in the exclusive control of the target by Samsic, constitutes a concentration within the meaning of Article L. 430-1 of the Commercial Code.  </w:t>
        <w:br/>
        <w:t xml:space="preserve">4. The companies concerned together achieve a total worldwide turnover excluding taxes of more than 150 million euros in the last closed financial year (Samsic group: [...] euros for the financial year ended December 31, 2016; Hub Safe group: [...] euros for the financial year ended December 31, 2016). Each of these companies has achieved a turnover in France exceeding 50 million euros (Samsic group: [...] euros for the financial year ended December 31, 2016; Hub Safe group: [...] euros for the financial year ended December 31, 2016). Given these turnovers, the operation does not fall under the competence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5. Within the private security sector, decision-making practice has identified four distinct markets: (i) the guarding market (or surveillance by agent), (ii) the market for electronic surveillance equipment, (iii) the remote surveillance market, and (iv) the market for security services for air transport. Samsic and Hub Safe are simultaneously active in the guarding markets (A.) and security services for air transport (B.).  </w:t>
        <w:br/>
        <w:t xml:space="preserve">6. Samsic is also active in the temporary labor markets, which have a vertical link with the guarding market (C.).  </w:t>
        <w:br/>
        <w:t xml:space="preserve">A. GUARDING MARKET  </w:t>
        <w:br/>
        <w:t xml:space="preserve">7. Within the market for guarding services, two main activities have been identified: traditional guarding services (fixed point guarding or mobile guarding through day or night patrols) and specialized guarding services (reception and filtering at access points, surveillance at workstations, baggage control, and person control).  </w:t>
        <w:br/>
        <w:t xml:space="preserve">8. European decision-making practice has considered the existence of a distinct market for guarding services, encompassing concierge services and alarm response services.  </w:t>
        <w:br/>
        <w:t xml:space="preserve">9. In this case, the question of the precise delimitation of the market for guarding services can be left open insofar as, regardless of the segmentation chosen, the conclusions of the competitive analysis will remain unchanged.  </w:t>
        <w:br/>
        <w:t xml:space="preserve">10. Decision-making practice considers that the guarding market is of national dimension, notably due to specific national regulations and the fact that the marketing of surveillance services by agent does not necessarily require having a network of agencies located near clients. There is no need to challenge this delimitation in the context of the present analysis.  </w:t>
        <w:br/>
        <w:t xml:space="preserve">11. In this case, Samsic and the target are both active in the French guarding market. However, to the extent that only Samsic engages in a marginal activity in the market for concierge services and alarm response, the latter is not concerned by the operation.  </w:t>
        <w:br/>
        <w:t xml:space="preserve">B. MARKET FOR SECURITY SERVICES FOR AIR TRANSPORT  </w:t>
        <w:br/>
        <w:t xml:space="preserve">12. Regulation (EC) No. 300/2008 of the European Parliament and of the Council, which entered into force on April 29, 2008, relating to the establishment of common rules in the field of civil aviation security defines in Article 3, 2) "aviation security" as "the combination of measures and human and material resources aimed at protecting civil aviation from unlawful interference jeopardizing civil aviation security." The points of application of aviation security are as follows: (a) airport security (access control to the runway and restricted access security areas, inspection/filtering of persons other than passengers and the objects they carry, vehicle control, surveillance, patrols, and other physical checks; (b) designated areas of airports where aircraft are parked; (c) passengers and cabin baggage (inspection/filtering of passengers and cabin baggage); (d) checked baggage; (e) cargo and mail; (f) onboard supplies and supplies intended for airports; (g) recruitment and training of personnel; (h) security equipment; (i) in-flight security measures.  </w:t>
        <w:br/>
        <w:t xml:space="preserve">13. These various areas of application constitute services requested by airport managers and airlines from service providers, whether public or private. France has chosen, since 1996, to outsource controls, now entrusted to private companies designated through tendering or private competition.  </w:t>
        <w:br/>
        <w:t>14. French and European decision-making practice has retained a market encompassing all aviation security services provided to airport managers and airlines. In its decision COMP/M.5993 of November 9, 2010, the Commission thus accepted the delimitation proposed by the notifying parties, who highlighted the specific nature of the service and the applicable regulation. It also noted that the clients are both airports and airlines and that the services in question are offered in bundled sets of specialized services and products.</w:t>
      </w:r>
    </w:p>
    <w:p>
      <w:r>
        <w:rPr>
          <w:b/>
        </w:rPr>
        <w:t>[Pages 4–6]</w:t>
      </w:r>
    </w:p>
    <w:p>
      <w:r>
        <w:t>15. Regarding the geographic delimitation of the market, the Commission initially considered that the relevant market for the provision of aviation security services was national in scope, and then questioned, while leaving the question open, the possibility of limiting this scope to the regional level concerning the United Kingdom.</w:t>
      </w:r>
    </w:p>
    <w:p>
      <w:r>
        <w:t>16. In decision no. 13-DCC-09 of January 17, 2013, regarding the acquisition of exclusive control of 42 companies of the ICTS group by Cyrus Investissements 1 SARL, the Competition Authority considered a market of national scope, relying on the existence of regular tenders and the presence of large providers capable of responding to them.</w:t>
      </w:r>
    </w:p>
    <w:p>
      <w:r>
        <w:t>17. There is no reason to challenge this delimitation in the context of the present operation.</w:t>
      </w:r>
    </w:p>
    <w:p>
      <w:r>
        <w:t>18. In this case, Samsic and the target are both present in the French market for security services for air transport.</w:t>
      </w:r>
    </w:p>
    <w:p>
      <w:r>
        <w:t>C. TEMPORARY WORK MARKET</w:t>
      </w:r>
    </w:p>
    <w:p>
      <w:r>
        <w:t>19. European and national decision-making practice considers that the provision of temporary work services to companies must be distinguished from other services to businesses, including permanent recruitment services.</w:t>
      </w:r>
    </w:p>
    <w:p>
      <w:r>
        <w:t>20. A sub-segmentation of the market for the provision of temporary work services to companies has been made based on the qualification level of temporary workers, distinguishing a market for workers and employees and a market for executives and intermediate professions. Furthermore, an additional sub-segmentation based on the sector of activity of temporary workers has been considered: for workers and employees, it concerns the distinction between office work (secretarial/administrative) and industry (engineering/technical), and for executives and intermediate professions, between information and communication technologies, engineering/technical, financial/legal, and medical/scientific. The competition authorities have left the question of the exact delimitation of these markets open.</w:t>
      </w:r>
    </w:p>
    <w:p>
      <w:r>
        <w:t>21. Regarding the geographic dimension of these markets, decision-making practice considers that they have a national dimension, notably for linguistic reasons and differences between national regulations in labor law.</w:t>
      </w:r>
    </w:p>
    <w:p>
      <w:r>
        <w:t>22. There is no reason to challenge this delimitation in the context of the present operation.</w:t>
      </w:r>
    </w:p>
    <w:p>
      <w:r>
        <w:t>III. Competitive Analysis</w:t>
      </w:r>
    </w:p>
    <w:p>
      <w:r>
        <w:t>23. The activities of the parties overlap in the French security market. According to the parties' estimates, the cumulative market share of the new entity is [0-5]% in this market. Following the operation, it will face competition from a multitude of operators, including Securitas, which holds a market share of [10-20]%, Seris with a market share of [5-10]%, and Fiducial, Prosegur, Onet Securité, and Atalain, whose respective market shares range from [0-5]% to [5-10]%.</w:t>
      </w:r>
    </w:p>
    <w:p>
      <w:r>
        <w:t>24. Regarding the French market for security services for air transport, the cumulative market share of the parties is estimated at [20-30]%. Following the operation, the new entity will face competition from international groups, such as ICTS France, which has a market share of [20-30]%, Brink's and Securitas, each holding [10-20]%.</w:t>
      </w:r>
    </w:p>
    <w:p>
      <w:r>
        <w:t>25. Furthermore, the market for security services for air transport is characterized by regular competitive bidding procedures organized by airport operating companies, which may divide their tenders into several lots to promote competition among operators.</w:t>
      </w:r>
    </w:p>
    <w:p>
      <w:r>
        <w:t>26. The operation is therefore not likely to harm competition through horizontal effects in the French markets for security and air transport security services.</w:t>
      </w:r>
    </w:p>
    <w:p>
      <w:r>
        <w:t>27. Finally, in this case, in the context of its activities in the French security market, Hub Safe could use the services of Samsic in the temporary work markets. However, in these markets, Samsic holds a market share between 5 and 10%, regardless of the segment considered. The operation is therefore not likely to harm competition in the temporary work market through vertical effects.</w:t>
      </w:r>
    </w:p>
    <w:p>
      <w:r>
        <w:t>IV. Ancillary Restrictions</w:t>
      </w:r>
    </w:p>
    <w:p>
      <w:r>
        <w:t>28. Article 8.2 of the draft shareholders' agreement concluded between Samsic and ADP provides for the maintenance in force of [...] contracts concluded between ADP and Hub Safe until [...], through the early firming of the [...] optional tranches, each with a duration of [...] or [...] months as provided in each of these contracts.</w:t>
      </w:r>
    </w:p>
    <w:p>
      <w:r>
        <w:t>29. The firming of these contracts is analyzed in accordance with paragraphs 535 and following of the Authority's guidelines on merger control, concerning ancillary restrictions. A restriction is considered ancillary as long as it is directly related and necessary for the realization of the operation. As soon as the parties to the concentration enter into this type of agreement, they are covered by the authorization decision of the concentration.</w:t>
      </w:r>
    </w:p>
    <w:p>
      <w:r>
        <w:t>30. Point 538 of the guidelines specifies that “[restrictions] are considered directly related and necessary because in their absence, the concentration could not be realized or its viability would be called into question.” Furthermore, under the Commission's communication regarding restrictions directly related and necessary for the realization of concentration operations (2005/C 56/03), the necessity of the restriction is assessed based on its nature, duration, and material or geographic scope. In particular, it can only be justified for a maximum duration of five years.</w:t>
      </w:r>
    </w:p>
    <w:p>
      <w:r>
        <w:t>31. In this case, the notifying party indicated that “ADP [had] chosen to firm up the conditional tranches of the contracts concluded with Hub Safe for the airports of Paris-CDG and Paris-Orly as the value of the target company and the very interest of the Operation for Samsic are closely linked to the maintenance of these contracts. [The firming] guarantees the transfer to the acquirer of the total value of the divested assets. In the absence of firming, the uncertainty regarding the maintenance of these contracts beyond their initial term would very substantially affect the value of the target company.” The contracts concluded between ADP and Hub Safe represent [80-90]% of the target's revenue. The early firming of the contracts concluded between ADP and Hub Safe, while not constituting an agreement that executes the main object of the operation, ensures the acquirer's viability of the target and the sustainability of the transfer of Hub Safe's activity to Samsic.</w:t>
      </w:r>
    </w:p>
    <w:p>
      <w:r>
        <w:t>32. The firming of the contracts concluded between ADP and Samsic therefore constitutes a restriction directly related and necessary for the realization of the concentration. In accordance with decision-making practice, it is therefore covered by this decision, for a duration of up to five years.</w:t>
      </w:r>
    </w:p>
    <w:p>
      <w:r>
        <w:t>DECIDES</w:t>
      </w:r>
    </w:p>
    <w:p>
      <w:r>
        <w:t>Sole Article: The operation notified under number 17-135 is authorized.</w:t>
      </w:r>
    </w:p>
    <w:p>
      <w: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