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https://www.autoritedelaconcurrence.fr/fr/decision-de-controle-des-concentrations/relative-la-prise-de-controle-exclusif-de-la-societe-ilek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26-DCC-14 of January 20, 2026</w:t>
        <w:br/>
        <w:t>regarding the exclusive control acquisition of the company Ilek</w:t>
        <w:br/>
        <w:t>by the company EP France</w:t>
        <w:br/>
        <w:t>The Competition Authority,</w:t>
      </w:r>
    </w:p>
    <w:p>
      <w:r>
        <w:t>Having regard to the complete notification file submitted to the mergers department on</w:t>
        <w:br/>
        <w:t>December 23, 2025, concerning the exclusive control acquisition of the company Ilek by the company</w:t>
        <w:br/>
        <w:t>EP France, formalized by a memorandum of understanding signed on December 15, 2025;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</w:r>
    </w:p>
    <w:p>
      <w:r>
        <w:t>1. The notified operation consists of the acquisition, by the company EP France, of 100% of the capital and</w:t>
        <w:br/>
        <w:t>voting rights of the company Ilek, whose post-operation scope concerns its supply activities of</w:t>
        <w:br/>
        <w:t>electricity and gas. The contemplated operation constitutes a concentration within the meaning of</w:t>
        <w:br/>
        <w:t>Article L. 430-1 of the Commercial Code. Given the turnover achieved by the</w:t>
        <w:br/>
        <w:t>concerned companies, the operation does not fall under the jurisdiction of the European Union.</w:t>
        <w:br/>
        <w:t>On the other hand, the control thresholds mentioned in I of Article L. 430-2 of the Commercial Code</w:t>
        <w:br/>
        <w:t>are exceeded. The present operation is therefore subject to the provisions of Articles L. 430-3 and</w:t>
        <w:br/>
        <w:t>following of the Commercial Code relating to economic concentration.</w:t>
      </w:r>
    </w:p>
    <w:p>
      <w:r>
        <w:t>2. In light of the elements of the file, the operation is not likely to harm competition</w:t>
        <w:br/>
        <w:t>in the relevant markets.</w:t>
        <w:br/>
        <w:t>Ilek is also active in the upstream level of energy production through its subsidiary Ilek Production and the entities</w:t>
        <w:br/>
        <w:t>held by this subsidiary. However, these companies will be sold prior to the operation and therefore do not</w:t>
        <w:br/>
        <w:t>form part of the scope acquired by EP France.</w:t>
      </w:r>
    </w:p>
    <w:p>
      <w:r>
        <w:t>DECIDES</w:t>
        <w:br/>
        <w:t>Sole Article: The operation notified under number 25-366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