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https://www.autoritedelaconcurrence.fr/fr/decision-de-controle-des-concentrations/relative-la-prise-de-controle-exclusif-de-la-societe-iliad</w:t>
      </w:r>
    </w:p>
    <w:p>
      <w:r>
        <w:t>Pages translated : 6</w:t>
      </w:r>
    </w:p>
    <w:p/>
    <w:p>
      <w:r>
        <w:rPr>
          <w:b/>
        </w:rPr>
        <w:t>[Pages 1–3]</w:t>
      </w:r>
    </w:p>
    <w:p>
      <w:r>
        <w:t xml:space="preserve">FRENCH REPUBLIC  </w:t>
        <w:br/>
        <w:t xml:space="preserve">Decision No. 19-DCC-169 of August 30, 2019  </w:t>
        <w:br/>
        <w:t xml:space="preserve">regarding the exclusive control of the company Iliad 7 by the company  </w:t>
        <w:br/>
        <w:t xml:space="preserve">Cellnex France Group  </w:t>
        <w:br/>
        <w:t xml:space="preserve">The Competition Authority,  </w:t>
        <w:br/>
        <w:t xml:space="preserve">Having regard to the notification file submitted in full to the merger service on August 8, 2019,  </w:t>
        <w:br/>
        <w:t xml:space="preserve">regarding the exclusive control of the company Iliad 7 by the company Cellnex France Group,  </w:t>
        <w:br/>
        <w:t xml:space="preserve">formalized by a share acquisition agreement dated May 29, 2019;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Cellnex France Group (hereinafter, "Cellnex") is a subsidiary of the Cellnex group, which is active  </w:t>
        <w:br/>
        <w:t xml:space="preserve">in the telecommunications, broadcasting, and security networks and emergency services sectors in Switzerland, Spain, Italy, the Netherlands, France, and the United Kingdom. In France, Cellnex is active solely in the mobile telecommunications sector, through the operation of approximately 3,000 mobile telecommunication sites. Cellnex is ultimately owned by Cellnex Telecom, listed on the Madrid Stock Exchange, which is not controlled by any of its shareholders, within the meaning of merger law.  </w:t>
        <w:br/>
        <w:t xml:space="preserve">2. Iliad 7 is a subsidiary of the Iliad group, ultimately controlled by Mr. Xavier Niel. Before the effective realization of the operation, Iliad 7 will be transferred by the company Free Mobile, itself a subsidiary of the Iliad group, the entirety of the hosting activity on passive infrastructures of the latter, including the ownership of said infrastructures. Iliad 7 will thus be active in the management and marketing of passive infrastructures allowing the hosting of mobile telephony equipment. It will operate approximately 5,700 mobile telecommunication sites in France.  </w:t>
        <w:br/>
        <w:t xml:space="preserve">3. The operation consists of Cellnex acquiring 70% of the capital of Iliad 7, the remaining share held by the Iliad group which will not benefit from any veto rights over the strategic decisions of Iliad 7. In that it results in the exclusive control of Iliad 7 by Cellnex, the notified operation constitutes a concentration within the meaning of Article L. 430-1 of the Commercial Code.  </w:t>
        <w:br/>
        <w:t xml:space="preserve">4. The present operation is part of two other acquisitions planned by Cellnex from the same selling group. On May 6, 2019, the company Galata, a subsidiary of Cellnex Telecom, entered into an agreement with the company Iliad Italia, a subsidiary of Iliad, for the acquisition of 2,200 mobile telecommunication sites in Italy. On May 7, 2019, the company Swiss Towers A.G., a subsidiary of Cellnex Telecom, entered into an agreement with the company Matterhorn Telecom, allowing it to acquire 90% of the company Swiss Infra Services, which will hold 2,800 mobile telecommunication sites in Switzerland currently integrated into the company Salt Mobile, a Swiss mobile telephony operator with Mr. Xavier Niel as a reference shareholder. Although these operations are independent of each other, each having been subject to separate acquisition contracts and without any reciprocity condition related to their realization, they occur between the same buyer, Cellnex, and the same seller, namely, Mr. Xavier Niel through several companies he controls. Thus, pursuant to paragraph 88 of the Authority's guidelines on merger control, "successive operations carried out over a period of two years between the same companies are considered as a single concentration for the purposes of calculating the turnover of the concerned companies. [...] The overall operation will need to be notified to the Authority as soon as the consolidated turnover of these successive operations exceeds the mandatory notification thresholds, both regarding the total worldwide turnover excluding taxes of all companies or groups of natural or legal persons involved in the concentration and regarding the individual turnovers." In this case, only the present operation is notifiable to the Competition Authority, as the companies Galata and Swiss Infra Services do not generate any turnover in France. However, their activity will be taken into account for the purposes of calculating the turnover of the target of the present operation and for the competitive analysis.  </w:t>
        <w:br/>
        <w:t xml:space="preserve">5. The concerned companies together generate a total worldwide turnover of over 150 million euros (Cellnex: 898 million euros for the fiscal year ending December 31, 2018; Iliad 7: [≥ 150 million] euros for the same fiscal year1). Each of these companies generates, in France, a turnover exceeding 50 million euros (Cellnex: [≥ 50 million] euros for the fiscal year ending December 31, 2018; Iliad 7: [≥ 50 million] euros for the same fiscal year). Given these turnover figures, the operation does not have a European dimension.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The parties are present in the market for hosting mobile telephony equipment in France through the operation of mobile telecommunication sites.  </w:t>
        <w:br/>
        <w:t xml:space="preserve">1 The turnover of Iliad 7 calculated for the purposes of examining the present concentration includes the turnovers of the companies Galata and Swiss Infra Services.  </w:t>
        <w:br/>
        <w:t>2</w:t>
      </w:r>
    </w:p>
    <w:p>
      <w:r>
        <w:t xml:space="preserve">7. A mobile telecommunication site is composed, on the one hand, of so-called "passive" infrastructures, generally consisting of a pylon or mast, a technical room, and technical equipment allowing their operation, and on the other hand, of so-called "active" mobile telephony infrastructures allowing the broadcasting of radiocommunication waves of which the mobile operators remain the owners. The passive infrastructures are installed on land, a rooftop terrace, or a high point on which the operator of said infrastructures benefits from a right of occupation.  </w:t>
        <w:br/>
        <w:t xml:space="preserve">8. Hosting on high points is necessary for several categories of users, who use a part of the radio spectrum for their activities, mainly digital television broadcasting, analog radio broadcasting, and mobile telephony services. The Competition Authority has thus distinguished sites used for hosting mobile telephony equipment and sites used for broadcasting audiovisual communication services2. The offer of mobile telephony equipment hosting is primarily made by site companies (hereinafter, "TowerCo"), such as the notifying party, and mobile telephony operators, the latter also being customers in this market. This market segmentation is not contested by the notifying party.  </w:t>
        <w:br/>
        <w:t xml:space="preserve">9. There is a great diversity of sites allowing the hosting of passive infrastructures, the main ones being dedicated pylons and rooftop terraces. Water towers, silos, bell towers, engineering structures, highway and electrical pylons are also used to receive such equipment.  </w:t>
        <w:br/>
        <w:t xml:space="preserve">10. The Authority has distinguished two types of areas: urban areas on the one hand and suburban and rural areas on the other3. This segmentation is justified notably by the predominance of rooftop terraces in urban areas and that of pylons in suburban and rural areas. In this regard, the Authority has considered that, in suburban and rural areas, it is necessary to distinguish pylon sites from other types of infrastructures hosting mobile telephony equipment4.  </w:t>
        <w:br/>
        <w:t xml:space="preserve">11. The notifying party believes that all passive infrastructure sites are taken into account by operators in an area they wish to cover and that, for this reason, the market for hosting mobile telephony equipment should not be segmented more finely. When questioned in a market test, competitors and customers of the notifying party indicated that the main criterion in choosing a site that meets their need for high points was the best possible coverage of the population. Operating costs, sustainability, stability of hosting, and connection costs are considered secondary criteria. However, the majority of respondents to the market test specified that, regardless of the area considered, rooftop terraces are not substitutable for pylons from their point of view.  </w:t>
        <w:br/>
        <w:t xml:space="preserve">12. Therefore, it is necessary to analyze the effects of the operation according to the type of infrastructure hosting mobile telephony equipment and the type of area (urban or suburban and rural).  </w:t>
        <w:br/>
        <w:t xml:space="preserve">13. Finally, the Authority has considered that the hosting services offered by TowerCo and those provided by mobile operators constitute two distinct markets.  </w:t>
        <w:br/>
        <w:t xml:space="preserve">2 Opinion of the Competition Council No. 02-A-04 of April 11, 2011, regarding the acquisition by the company Télédiffusion de France of a set of pylon sites from Bouygues Télécom and decision of the Authority No. 15-D-09 of June 4, 2015, regarding practices implemented in the mobile telephony equipment hosting sector.  </w:t>
        <w:br/>
        <w:t xml:space="preserve">3 Preceding Decision No. 15-D-09  </w:t>
        <w:br/>
        <w:t xml:space="preserve">4 Ibid.  </w:t>
        <w:br/>
        <w:t>3</w:t>
      </w:r>
    </w:p>
    <w:p>
      <w:r>
        <w:rPr>
          <w:b/>
        </w:rPr>
        <w:t>[Pages 4–6]</w:t>
      </w:r>
    </w:p>
    <w:p>
      <w:r>
        <w:t>14. The notifying party argues that there is no longer a need to distinguish these offers based on the hosting service provider given the development of infrastructure sharing among operators, with the latter being able to offer the use of their infrastructures to competing operators. However, it emerges from the market test responses that the offers from TowerCo present significant differences from a technical perspective (site availability timeframes, site height or location) and commercial perspective (more varied offer content).</w:t>
      </w:r>
    </w:p>
    <w:p>
      <w:r>
        <w:t>15. In this case, the question of the exact delineation of the mobile telephony equipment hosting market can be left open, as the conclusions of the competitive analysis remain unchanged regardless of the segmentation examined.</w:t>
      </w:r>
    </w:p>
    <w:p>
      <w:r>
        <w:t>16. Regarding the geographical definition of the market, the Authority considers it to be of national dimension, which is not contested by the notifying party. There is no need to challenge this delineation within the framework of the present decision.</w:t>
      </w:r>
    </w:p>
    <w:p>
      <w:r>
        <w:t xml:space="preserve">III. Competitive Analysis  </w:t>
        <w:br/>
        <w:t xml:space="preserve">A. ANALYSIS OF NON-COORDINATED EFFECTS (HORIZONTAL EFFECTS)  </w:t>
        <w:br/>
        <w:t>17. The parties are simultaneously present in the market for hosting mobile telecommunication equipment in urban, suburban, and rural areas. In urban areas, the activities of the parties overlap in the segments of pylons, rooftops, and other infrastructures. In suburban and rural areas, the activities of the parties overlap in the pylon segment.</w:t>
      </w:r>
    </w:p>
    <w:p>
      <w:r>
        <w:t>18. According to the estimates of the notifying party, the market shares of the parties are below 25% regardless of the segmentation retained, except for the segment of hosting mobile telecommunication equipment on rooftops in urban areas by TowerCo, where the combined market share of the parties is [30-40]% with an increment of [10-20] points. The new entity will become the second TowerCo player in this market, behind the company Hivory, a subsidiary of SFR, ([30-40]%), but far ahead of the company TDF ([0-5]%).</w:t>
      </w:r>
    </w:p>
    <w:p>
      <w:r>
        <w:t>19. This market share, which does not exceed the threshold for presumption of a competition problem, is not likely to confer upon the new entity the power to increase prices or degrade the quality of services provided to mobile operators following the operation.</w:t>
      </w:r>
    </w:p>
    <w:p>
      <w:r>
        <w:t>20. On the one hand, the concentration operation, which consists of the acquisition by a TowerCo of a network owned by a mobile telephony operator and operated for its own account, allows for the emergence of a competitive offer in the market. In this respect, the operation does not confer any specific rights such as exclusive rights, priority rights, or veto rights to the Iliad group over the transferred infrastructures, so that the new entity will be able to lease them to other mobile telephony operators.</w:t>
      </w:r>
    </w:p>
    <w:p>
      <w:r>
        <w:t>21. On the other hand, historical TowerCos such as TDF and ATC have so-called "marketable" sites. These sites, which are not active and have therefore not been taken into account in the calculation of market shares, do exert some competitive pressure as they represent easily exploitable resources in case of needs expressed by an operator. Thus, these marketable sites are assets that constitute a potential offer capable of relativizing the market power of Cellnex following the operation.</w:t>
      </w:r>
    </w:p>
    <w:p>
      <w:r>
        <w:t>22. Given these elements, the operation is not likely to harm competition in the markets for hosting mobile telecommunication equipment in France.</w:t>
      </w:r>
    </w:p>
    <w:p>
      <w:r>
        <w:t xml:space="preserve">B. ANALYSIS OF COORDINATED EFFECTS  </w:t>
        <w:br/>
        <w:t>23. In accordance with European and French case law, and the decision-making practice of the Authority, an operation may alter the nature of competition in the market such that companies that previously did not coordinate their behavior are now incentivized to do so, or if they were already coordinating their behaviors, they may do so more easily. Such effects are possible when, in an oligopolistic market or a highly concentrated market, a concentration operation results in each member of the concerned oligopoly recognizing common interests and considering it possible, economically rational, and therefore preferable to adopt a consistent course of action in the market with the aim, in particular, of selling above competitive prices, without having to enter into an agreement or resort to a concerted practice within the meaning of Articles L. 420-1 of the Commercial Code or 101 of the Treaty on the Functioning of the European Union, and without current or potential competitors, or customers and consumers, being able to react effectively.</w:t>
      </w:r>
    </w:p>
    <w:p>
      <w:r>
        <w:t>24. Coordination is more likely in markets where it is relatively simple to achieve a mutual understanding of its terms of operation. The following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 Furthermore, such coordination is only possible if companies are able to understand the common objective and the means to achieve it (understanding condition).</w:t>
      </w:r>
    </w:p>
    <w:p>
      <w:r>
        <w:t>25. In this case, following the operation, in the market for hosting mobile telephony infrastructures, the two leading TowerCo operators will together hold a combined market share of [60-70]% in the rooftop segment in urban areas. However, the operation does not lead to the disappearance of an independent operator in this market as it has the effect of including new sites that were previously primarily intended to be operated for self-consumption by the Iliad group (on behalf of its subsidiary Free).</w:t>
      </w:r>
    </w:p>
    <w:p>
      <w:r>
        <w:t>26. In any case, the conditions set by the aforementioned European and national case law are not met to characterize a risk likely to create or strengthen coordinated effects in this market.</w:t>
      </w:r>
    </w:p>
    <w:p>
      <w:r>
        <w:t>27. On the one hand, the market is not very transparent. Indeed, the prices for hosting mobile telephony infrastructures are not public and result from bilateral and confidential negotiations between mobile operators and passive infrastructure operators.</w:t>
      </w:r>
    </w:p>
    <w:p>
      <w:r>
        <w:t>28. On the other hand, several other TowerCo operators are active in the national market for rooftops in urban areas, such as TDF and ATC, so that a sufficient residual competitive fringe will remain following the operation.</w:t>
      </w:r>
    </w:p>
    <w:p>
      <w:r>
        <w:t>29. It follows from the above that the notified operation is not likely to harm competition through coordinated effects in the markets for hosting mobile telecommunication equipment in France.</w:t>
      </w:r>
    </w:p>
    <w:p>
      <w:r>
        <w:t xml:space="preserve">DECIDES  </w:t>
        <w:br/>
        <w:t xml:space="preserve">Sole Article: The operation notified under number 19-147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