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https://www.autoritedelaconcurrence.fr/fr/decision-de-controle-des-concentrations/relative-la-prise-de-controle-exclusif-de-la-societe-iliane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23-DCC-188 of September 22, 2023  </w:t>
        <w:br/>
        <w:t xml:space="preserve">regarding the exclusive control acquisition of the company Iliane by the company  </w:t>
        <w:br/>
        <w:t xml:space="preserve">OCI  </w:t>
        <w:br/>
        <w:t xml:space="preserve">The Competition Authority,  </w:t>
        <w:br/>
        <w:t xml:space="preserve">Having regard to the complete notification file submitted to the mergers department on September 7, 2023,  </w:t>
        <w:br/>
        <w:t xml:space="preserve">concerning the exclusive control acquisition by the OCI group of the company Iliane, formalized by a  </w:t>
        <w:br/>
        <w:t xml:space="preserve">letter of share purchase offer dated May 16, 2023;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Iliane by the company  </w:t>
        <w:br/>
        <w:t xml:space="preserve">OCI, both active in the sector of IT products and services. It constitutes a concentration operation within the meaning of Article L. 430-1 of the Commercial Code. Given  </w:t>
        <w:br/>
        <w:t xml:space="preserve">the turnover achieved by the companies concerned, the operation does not fall under the  </w:t>
        <w:br/>
        <w:t xml:space="preserve">competence of the European Union. On the other hand, the control thresholds mentioned in I of  </w:t>
        <w:br/>
        <w:t xml:space="preserve">Article L. 430-2 of the Commercial Code are exceeded. The present operation is therefore subject  </w:t>
        <w:br/>
        <w:t xml:space="preserve">to the provisions of Articles L. 430-3 and following of the Commercial Code relating to  </w:t>
        <w:br/>
        <w:t xml:space="preserve">economic concentration.  </w:t>
        <w:br/>
        <w:t xml:space="preserve">2. In view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23-191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