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https://www.autoritedelaconcurrence.fr/fr/decision-de-controle-des-concentrations/relative-la-prise-de-controle-exclusif-de-la-societe-imj</w:t>
      </w:r>
    </w:p>
    <w:p>
      <w:r>
        <w:t>Pages translated : 5</w:t>
      </w:r>
    </w:p>
    <w:p/>
    <w:p>
      <w:r>
        <w:rPr>
          <w:b/>
        </w:rPr>
        <w:t>[Pages 1–3]</w:t>
      </w:r>
    </w:p>
    <w:p>
      <w:r>
        <w:t xml:space="preserve">FRENCH REPUBLIC  </w:t>
        <w:br/>
        <w:t xml:space="preserve">Decision No. 15-DCC-113 of August 25, 2015  </w:t>
        <w:br/>
        <w:t xml:space="preserve">regarding the exclusive control of IMJ Finance by Atrilux  </w:t>
        <w:br/>
        <w:t xml:space="preserve">The Competition Authority,  </w:t>
        <w:br/>
        <w:t xml:space="preserve">Having regard to the notification file submitted in full to the merger service on July 31, 2015, regarding the exclusive control of IMJ Finance SAS by Atrilux SA, formalized by a memorandum of understanding dated July 15,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Atrilux SA (hereinafter "Atrilux") is a public limited company, the parent company of the Atrilux group. It controls several subsidiaries active notably in the wholesale distribution of medicines, through a depositary activity and a wholesaler-distributor activity, as well as in the distribution of medical equipment. Atrilux is 100% controlled by Mr. [X], who does not hold shares in other companies.  </w:t>
        <w:br/>
        <w:t xml:space="preserve">2. IMJ Finance SAS (hereinafter "IMJ Finance") is a holding company that holds all of the capital and voting rights of Phictal SAS (hereinafter "Phictal"). Phictal operates in the wholesale market for medicines where it primarily acts as a wholesaler-distributor and, to a lesser extent, as a depositary for the provision of logistical services. IMJ Finance is exclusively controlled by Mr. [Y].  </w:t>
        <w:br/>
        <w:t>3. The operation, formalized by a memorandum of understanding dated July 15, 2015, consists of the acquisition of all the capital and voting rights of IMJ Finance by Atrilux. It therefore results in the exclusive control of IMJ by Atrilux and constitutes a concentration within the meaning of Article L. 430-1 of the Commercial Code.</w:t>
      </w:r>
    </w:p>
    <w:p>
      <w:r>
        <w:t xml:space="preserve">4. The companies concerned together achieve a total worldwide turnover of more than 150 million euros (Atrilux Group: 107.1 million euros for the fiscal year ending December 31, 2013; IMJ Finance: 104.3 million euros for the fiscal year ending February 28, 2015). Each achieves a turnover in France exceeding 50 million euros (Atrilux Group: 63.8 million euros for the fiscal year ending December 31, 2013; IMJ Finance: 64.5 million euros for the fiscal year ending February 28, 2015).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The parties are both active in the French market for logistical services in the field of health products (activity referred to as "depositary"). They are also both active in the French pharmaceutical distribution market1.  </w:t>
        <w:br/>
        <w:t xml:space="preserve">A. MARKET FOR LOGISTICAL SERVICES IN THE FIELD OF HEALTH PRODUCTS  </w:t>
        <w:br/>
        <w:t xml:space="preserve">1. MARKET FOR SERVICES  </w:t>
        <w:br/>
        <w:t xml:space="preserve">6. A depositary is defined as a "company engaged, on behalf of one or more operators of medicines, in the storage of these medicines, which it does not own, with a view to their wholesale distribution and in their original state"2. It is a logistical platform, with the status of a pharmaceutical establishment, providing its commercial services on behalf of and for the account of pharmaceutical laboratories in particular. Unlike the wholesaler-distributor, the depositary does not own the medicines it delivers. It is involved in direct sales to pharmacies, but also in supplying intermediaries such as wholesaler-distributors and pharmaceutical purchasing centers. Unlike the wholesaler-distributor, the depositary is not subject to any public service obligations, particularly regarding the maintenance of its stock and the supply of pharmacies3.  </w:t>
        <w:br/>
        <w:t xml:space="preserve">7. Furthermore, logistical service provisions involve the various parties in a supply chain of goods between an origin point and a destination point with the aim of optimally managing their flow and storage. They constitute a distinct market from that of the transport of goods in that the main object of a logistics contract (the management of flow) is different from a freight contract (the simple transport of goods)4. Decision-making practice therefore recognizes a specific market for logistical service provisions in the field of health products, given the particularity of these products5.  </w:t>
        <w:br/>
        <w:t xml:space="preserve">8. There is no need to challenge this delimitation on the occasion of the present operation.  </w:t>
        <w:br/>
        <w:t xml:space="preserve">2. GEOGRAPHIC MARKET  </w:t>
        <w:br/>
        <w:t xml:space="preserve">9. Decision-making practice has left the geographic market delimitation open while conducting the competitive analysis at the national level, insofar as the main depositaries have a network of warehouses and distribute products throughout the entire territory6.  </w:t>
        <w:br/>
        <w:t xml:space="preserve">10. In the present case, the question of the exact delimitation of the geographic market may be left open, as the conclusions of the competitive analysis remain unchanged. The competitive analysis of logistical service provisions in the field of health products will be conducted at the national level.  </w:t>
        <w:br/>
        <w:t xml:space="preserve">B. MARKET FOR PHARMACEUTICAL DISTRIBUTION  </w:t>
        <w:br/>
        <w:t xml:space="preserve">1. MARKET FOR SERVICES  </w:t>
        <w:br/>
        <w:t xml:space="preserve">11. The wholesaler-distributor is defined in Article R.5124-2, 5° of the Public Health Code ("CSP") as "the company engaged in the purchase and storage of medicines other than experimental medicines, with a view to their wholesale distribution and in their original state." This activity is subject to certain obligations, such as the declaration of the territory in which pharmaceutical distribution is carried out. A wholesaler-distributor may, if it meets the conditions set forth in this regard by the Public Health Code, and provided that it does not create a supply disruption in the national territory, proceed with parallel exportation and/or parallel importation of medicines within the European Union7.  </w:t>
        <w:br/>
        <w:t xml:space="preserve">12. The constant practice of competition authorities considers that the pharmaceutical distribution market is a distinct market8. Several segmentations of this market have been considered, notably according to the type of products, as there are differences between patented medicines, generics, non-reimbursable medicines, and parapharmaceutical products in terms of prices, authorized margins, and distribution channels.  </w:t>
        <w:br/>
        <w:t xml:space="preserve">4 See notably the letter from the Minister of Economy, Industry and Employment C 2005-110 dated November 29, 2005, to the councils of the company Norbert Dentressangle, regarding a concentration in the sectors of road transport of goods and logistics.  </w:t>
        <w:br/>
        <w:t xml:space="preserve">5 See the letter from the Minister of Economy, Industry and Employment C2008-111 of November 20, 2008, to the council of the company Alliance Santé France, regarding a concentration in the pharmaceutical sector. The minister also considered a segmentation relating to "cold" health products, not applicable in the present case, due to the lack of activities of the parties in this type of service.  </w:t>
        <w:br/>
        <w:t xml:space="preserve">6 Id.  </w:t>
        <w:br/>
        <w:t xml:space="preserve">7 See the aforementioned opinion No. 13-A-24.  </w:t>
        <w:br/>
        <w:t>8 See notably the letter from the Minister of Economy, Finance and Industry dated January 20, 2003, to the council of the company Alliance Santé Distribution, regarding a concentration in the sector of pharmaceutical wholesaler-distributors and the aforementioned letter from the Minister of Economy, Industry and Employment C2008-111 of November 20, 2008.</w:t>
      </w:r>
    </w:p>
    <w:p>
      <w:r>
        <w:rPr>
          <w:b/>
        </w:rPr>
        <w:t>[Pages 4–5]</w:t>
      </w:r>
    </w:p>
    <w:p>
      <w:r>
        <w:t>distribution channel or type of medication (branded/generics/OTC) have also been considered9.</w:t>
      </w:r>
    </w:p>
    <w:p>
      <w:r>
        <w:t>13. In the present case, it is not necessary to decide on all these delineations, as the conclusions of the competitive analysis remain unchanged regardless of the market definition adopted.</w:t>
      </w:r>
    </w:p>
    <w:p>
      <w:r>
        <w:t>2. GEOGRAPHIC MARKET</w:t>
      </w:r>
    </w:p>
    <w:p>
      <w:r>
        <w:t>14. The decisional practice has left open the geographic definition of the pharmaceutical distribution market. However, the minister noted that market access conditions were homogeneous from one region to another, that demand was increasingly structured on a national basis (formation of pharmacist groups), and that the main operators were established throughout the entire national territory10.</w:t>
      </w:r>
    </w:p>
    <w:p>
      <w:r>
        <w:t>15. In this case, it is not necessary to resolve this question, as the conclusions of the competitive analysis remain unchanged. The analysis will be conducted at the national level.</w:t>
      </w:r>
    </w:p>
    <w:p>
      <w:r>
        <w:t>III. Competitive Analysis</w:t>
      </w:r>
    </w:p>
    <w:p>
      <w:r>
        <w:t>A. MARKET FOR LOGISTICS SERVICES IN THE FIELD OF HEALTH PRODUCTS</w:t>
      </w:r>
    </w:p>
    <w:p>
      <w:r>
        <w:t>16. The activity of the parties is marginal in this market, with the notifying party estimating the market share of the new entity to be approximately 0.1%. Following the operation, the new entity will thus face competition from the main market players, such as Axxedis, Alloga, Centre Spécialités Pharmaceutiques, Pharmalog, Eurodep, or Moviaton.</w:t>
      </w:r>
    </w:p>
    <w:p>
      <w:r>
        <w:t>17. Consequently, the operation is not likely to harm competition in the market for logistics services in the field of health products.</w:t>
      </w:r>
    </w:p>
    <w:p>
      <w:r>
        <w:t>B. PHARMACEUTICAL DISTRIBUTION MARKET</w:t>
      </w:r>
    </w:p>
    <w:p>
      <w:r>
        <w:t>18. The national pharmaceutical distribution market consists of four main players who hold 97% of market shares: the OCP group (34%), the CERP network (33%), Alliance Healthcare (22%), and Phoenix Pharma (7%)11. These four groups account for 80% of the distribution establishments located in French territory.</w:t>
      </w:r>
    </w:p>
    <w:p>
      <w:r>
        <w:t>19. Regardless of the segmentation and geographic definition adopted, the notifying party estimates that the combined market share of the parties remains below 5%.</w:t>
      </w:r>
    </w:p>
    <w:p>
      <w:r>
        <w:t>9 See in particular the letter from the Minister of Economy, Industry and Employment C2008-111 of November 20, 2008, cited above.</w:t>
      </w:r>
    </w:p>
    <w:p>
      <w:r>
        <w:t>10 Id.</w:t>
      </w:r>
    </w:p>
    <w:p>
      <w:r>
        <w:t>11 "New Product – Information and Implementation. Distributor Data – National Market Shares – Weight of Agencies / Companies," CIP, December 2014.</w:t>
      </w:r>
    </w:p>
    <w:p>
      <w:r>
        <w:t>20. Consequently, the operation is not likely to harm competition in the pharmaceutical distribution market.</w:t>
      </w:r>
    </w:p>
    <w:p>
      <w:r>
        <w:t>DECIDES</w:t>
      </w:r>
    </w:p>
    <w:p>
      <w:r>
        <w:t>Sole Article: The operation notified under number 15-114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