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https://www.autoritedelaconcurrence.fr/fr/decision-de-controle-des-concentrations/relative-la-prise-de-controle-exclusif-de-la-societe-imom</w:t>
      </w:r>
    </w:p>
    <w:p>
      <w:r>
        <w:t>Pages translated : 5</w:t>
      </w:r>
    </w:p>
    <w:p/>
    <w:p>
      <w:r>
        <w:rPr>
          <w:b/>
        </w:rPr>
        <w:t>[Pages 1–3]</w:t>
      </w:r>
    </w:p>
    <w:p>
      <w:r>
        <w:t xml:space="preserve">FRENCH REPUBLIC  </w:t>
        <w:br/>
        <w:t xml:space="preserve">Decision No. 11-DCC-146 of October 3, 2011  </w:t>
        <w:br/>
        <w:t xml:space="preserve">regarding the exclusive control of Imom International  </w:t>
        <w:br/>
        <w:t>by the 3i group</w:t>
      </w:r>
    </w:p>
    <w:p>
      <w:r>
        <w:t xml:space="preserve">The Competition Authority,  </w:t>
        <w:br/>
        <w:t xml:space="preserve">Having regard to the notification file submitted in full to the merger service on August 29, 2011,  </w:t>
        <w:br/>
        <w:t xml:space="preserve">regarding the exclusive control of Imom International by the 3i group,  </w:t>
        <w:br/>
        <w:t xml:space="preserve">formalized by a memorandum of understanding dated July 30, 2011;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transaction  </w:t>
        <w:br/>
        <w:t xml:space="preserve">1. The 3i group includes 3i Group plc and its subsidiaries, as well as investment funds, which are managed and/or advised notably by 3i Investments plc (a 100% subsidiary of 3i Group plc). 3i Group plc is a private equity company under English law listed on the London Stock Exchange and operating internationally, specializing notably in "leveraged buy-out" transactions whereby it makes, alongside funds managed by certain of its subsidiaries, majority stakes alongside the management of the target companies. No shareholder is able, alone or jointly with other shareholders, to exercise decisive influence over 3i Group plc.  </w:t>
        <w:br/>
        <w:t xml:space="preserve">2. Imom International is the holding company of the Plastiform’s group (hereinafter "Plastiform’s") primarily active in the manufacturing and marketing of fastening products and screws intended for construction professionals (this activity represents more than 80% of the group's turnover). Prior to the notified transaction, Imom International was exclusively controlled by IK Investment Partners.  </w:t>
        <w:br/>
        <w:t xml:space="preserve">3. Under the memorandum of understanding dated July 30, 2011, it is provided that the 3i group will acquire the entirety of the capital of Imom International, through its subsidiary Echezeaux Investissements and the subsidiary of the latter created for this purpose and named Bidco. Bidco will be indirectly held at […]% by Echezeaux Investissements and at […]% by the management. Upon reading the agreement concluded on the occasion of the transaction between the management and the 3i group, it appears that the latter will exclusively control Bidco. Upon completion of the notified transaction, 3i will therefore exclusively control the Plastiform’s group.  </w:t>
        <w:br/>
        <w:t>4. As it results in the exclusive control of the Plastiform’s group by the 3i group, the notified transaction constitutes a concentration within the meaning of Article L. 430-1 of the Commercial Code. The companies concerned have together achieved a consolidated worldwide turnover, excluding taxes, of more than 150 million euros in the last closed financial year (3i: […] billion euros; Plastiform’s: […] million euros). Each of these companies has achieved, in France, a turnover exceeding 50 million euros (3i: […] million euros; Plastiform’s: […] million euros). Given these turnover figures, the transaction does not have a community dimension. On the other hand,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5. The notified transaction does not result in any overlap of activities, as 3i does not hold any controlling stake in companies active in the same markets as Plastiform’s.  </w:t>
        <w:br/>
        <w:t>6. However, certain companies controlled by 3i are active in several markets located upstream of the industrial fastenings sector in which Plastiform’s is present. More specifically, these are the markets for plastics, the supply of injection molding machines, and the market for testing and certifications.</w:t>
      </w:r>
    </w:p>
    <w:p>
      <w:r>
        <w:t xml:space="preserve">A. THE MARKETS FOR INDUSTRIAL FASTENINGS  </w:t>
        <w:br/>
        <w:t xml:space="preserve">7. Industrial fastenings are mechanical devices whose function is to join two or more components. Within this sector, Community decision-making practice distinguishes a specific market for fastenings intended for the aerospace industry, due to particular characteristics that differentiate them from common fastenings. Furthermore, the Commission has questioned the existence of a distinct market for fastenings for the automotive industry. In line with this decision-making practice, the parties propose to retain, for the purposes of analyzing the present transaction, a market for fastenings intended for the construction industry.  </w:t>
        <w:br/>
        <w:t xml:space="preserve">8. Regarding the geographical delimitation, the Commission has considered a national or European dimension of the industrial fastenings markets, while leaving the question open.  </w:t>
        <w:br/>
        <w:t>9. There is no need to challenge these delimitations during the examination of the present transaction. In this case, the analysis will focus on the French market for fastenings intended for the construction sector in which Plastiform’s is present.</w:t>
      </w:r>
    </w:p>
    <w:p>
      <w:r>
        <w:t xml:space="preserve">B. THE MARKETS FOR PLASTICS  </w:t>
        <w:br/>
        <w:t xml:space="preserve">10. According to Community decision-making practice, within the plastics sector, a distinct market for thermoplastic materials can be distinguished. Furthermore, this market can in turn be segmented according to the base component used, such as polyamides and polypropylenes. Regarding their geographical delimitation, the plastics markets appear to be of supranational dimension.  </w:t>
        <w:br/>
        <w:t xml:space="preserve">11. The question of the exact delimitation of the plastics markets may, however, remain open, as the conclusions of the analysis remain unchanged regardless of the hypothesis retained. However, given the available data, the analysis of the present transaction will be conducted on a national market.  </w:t>
        <w:br/>
        <w:t>12. In this case, 3i is present as a supplier in the plastics market, materials which are used by Plastiform’s for the manufacture of fastening products.</w:t>
      </w:r>
    </w:p>
    <w:p>
      <w:r>
        <w:t xml:space="preserve">C. THE MARKET FOR THE SUPPLY OF INJECTION MOLDING MACHINES  </w:t>
        <w:br/>
        <w:t xml:space="preserve">13. On the occasion of its decision No. 11-DCC-24 of February 10, 2011, the Competition Authority considered the existence of a specific market for parts manufactured using an injection molding process. This technique consists of injecting liquid molten plastic into a mold that determines the shape of the final product. It allows for the manufacture of parts with more or less rigid and thick walls and enables the development of a wider range of products than thermoforming in terms of volume (250 ml to 50 liters), shape, and finish. Drawing on the delimitations retained by national practice regarding downstream markets, the parties propose to retain for the purposes of analyzing the present transaction, an upstream market for the supply of injection molding machines whose dimension would be national.  </w:t>
        <w:br/>
        <w:t xml:space="preserve">14. In any case, the question of the existence of such a market and its possible delimitations may remain open, as the conclusions of the analysis remain unchanged regardless of the hypothesis retained.  </w:t>
        <w:br/>
        <w:t>15. In this case, 3i is present as a supplier in the market for the supply of injection molding machines, machines which are also used by Plastiform’s for the manufacture of fastening products.</w:t>
      </w:r>
    </w:p>
    <w:p>
      <w:r>
        <w:rPr>
          <w:b/>
        </w:rPr>
        <w:t>[Pages 4–5]</w:t>
      </w:r>
    </w:p>
    <w:p>
      <w:r>
        <w:t>D. THE MARKET FOR TESTING AND CERTIFICATION</w:t>
      </w:r>
    </w:p>
    <w:p>
      <w:r>
        <w:t>16. On the occasion of its decision No. 04-D-71 of December 17, 2004, the Competition Council mentioned the existence of a market for "the study, analysis, and certification of construction materials," specifying that professionals in the construction sector are required to comply with current standards, to know or verify the technical characteristics of their products or materials before placing them on the market or using them, and to ensure their compliance with applicable specifications. Regarding the geographical delimitation of such a market, the parties propose to retain a national dimension.</w:t>
      </w:r>
    </w:p>
    <w:p>
      <w:r>
        <w:t>17. In any case, the question of the delimitation of the market for testing and certification may remain open, with the conclusions of the analysis remaining unchanged regardless of the hypothesis retained. In this case, only 3i offers testing and certification services for construction materials.</w:t>
      </w:r>
    </w:p>
    <w:p>
      <w:r>
        <w:t>III. Competitive Analysis</w:t>
      </w:r>
    </w:p>
    <w:p>
      <w:r>
        <w:t>18. A vertical concentration may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In this case, certain companies controlled by 3i are active in the markets for plastics, the supply of injection molding machines, and testing and certification, which are upstream of the industrial fastenings market for construction, in which Plastiform's is present. It is therefore necessary to ensure that the new entity will not be able to lock access to one or more of the aforementioned upstream markets on the one hand, and, on the other hand, to the outlets in the downstream market for construction fastenings.</w:t>
      </w:r>
    </w:p>
    <w:p>
      <w:r>
        <w:t>19. The decision-making practice of competition authorities generally dismisses these lock-in risks when the market share of the company resulting from the transaction in the relevant markets does not exceed 30%. In this case, the market share of Plastiform's in the downstream market for construction fastenings is estimated in France at [10-20]%. As for the upstream markets for plastics and the supply of injection molding machines, 3i's positions are estimated at [0-5]% and [10-20]% respectively in French territory. The competitive positioning that the 3i group will benefit from following the transaction appears insufficient for it to implement a lock-in strategy.</w:t>
      </w:r>
    </w:p>
    <w:p>
      <w:r>
        <w:t>20. Finally, regarding the French market for testing and certification, it should be noted that the activity of the 3i group, present in Dunkirk through a calibration laboratory, is relatively marginal. Furthermore, prior to the present transaction, Plastiform's conducted most of the testing on its products internally. The transaction is therefore not likely to lock access to outlets of significant magnitude.</w:t>
      </w:r>
    </w:p>
    <w:p>
      <w:r>
        <w:t>21. Given the above, the present transaction is not likely to harm competition through vertical effects.</w:t>
      </w:r>
    </w:p>
    <w:p>
      <w:r>
        <w:t>DECIDES</w:t>
      </w:r>
    </w:p>
    <w:p>
      <w:r>
        <w:t>Article unique: The notified transaction under number 11-0144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